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B8141" w14:textId="6BBF73B0" w:rsidR="00CE44E4" w:rsidRDefault="00CE44E4" w:rsidP="00EF2846">
      <w:pPr>
        <w:jc w:val="center"/>
        <w:rPr>
          <w:rFonts w:ascii="Helvetica" w:hAnsi="Helvetica"/>
          <w:b/>
          <w:bCs/>
          <w:sz w:val="28"/>
          <w:szCs w:val="28"/>
        </w:rPr>
      </w:pPr>
      <w:r>
        <w:rPr>
          <w:noProof/>
          <w:lang w:val="en-US" w:eastAsia="zh-CN"/>
        </w:rPr>
        <w:drawing>
          <wp:inline distT="0" distB="0" distL="0" distR="0" wp14:anchorId="2AC61CA7" wp14:editId="0D45F3EF">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4FABD351" w14:textId="77777777" w:rsidR="00CE44E4" w:rsidRDefault="00CE44E4" w:rsidP="00EF2846">
      <w:pPr>
        <w:jc w:val="center"/>
        <w:rPr>
          <w:rFonts w:ascii="Helvetica" w:hAnsi="Helvetica"/>
          <w:b/>
          <w:bCs/>
          <w:sz w:val="28"/>
          <w:szCs w:val="28"/>
        </w:rPr>
      </w:pPr>
    </w:p>
    <w:p w14:paraId="6B1A51C2" w14:textId="77777777" w:rsidR="00CE44E4" w:rsidRDefault="00CE44E4" w:rsidP="00EF2846">
      <w:pPr>
        <w:jc w:val="center"/>
        <w:rPr>
          <w:rFonts w:ascii="Helvetica" w:hAnsi="Helvetica"/>
          <w:b/>
          <w:bCs/>
          <w:sz w:val="28"/>
          <w:szCs w:val="28"/>
        </w:rPr>
      </w:pPr>
    </w:p>
    <w:p w14:paraId="538CA7EB" w14:textId="77777777" w:rsidR="00EF2846" w:rsidRPr="006C3E62" w:rsidRDefault="00EF2846" w:rsidP="00EF2846">
      <w:pPr>
        <w:jc w:val="center"/>
        <w:rPr>
          <w:rFonts w:ascii="Helvetica" w:hAnsi="Helvetica"/>
          <w:b/>
          <w:bCs/>
          <w:sz w:val="28"/>
          <w:szCs w:val="28"/>
        </w:rPr>
      </w:pPr>
      <w:r w:rsidRPr="006C3E62">
        <w:rPr>
          <w:rFonts w:ascii="Helvetica" w:hAnsi="Helvetica"/>
          <w:b/>
          <w:bCs/>
          <w:sz w:val="28"/>
          <w:szCs w:val="28"/>
        </w:rPr>
        <w:t>WHO-EU-LUX UHC Partnership in Georgia</w:t>
      </w:r>
    </w:p>
    <w:p w14:paraId="5612B1B8" w14:textId="4CD92F52" w:rsidR="00EF2846" w:rsidRPr="006C3E62" w:rsidRDefault="00EF2846" w:rsidP="00EF2846">
      <w:pPr>
        <w:jc w:val="center"/>
        <w:rPr>
          <w:rFonts w:ascii="Helvetica" w:eastAsiaTheme="majorEastAsia" w:hAnsi="Helvetica"/>
          <w:b/>
          <w:sz w:val="28"/>
          <w:szCs w:val="28"/>
        </w:rPr>
      </w:pPr>
      <w:r w:rsidRPr="006C3E62">
        <w:rPr>
          <w:rFonts w:ascii="Helvetica" w:eastAsiaTheme="majorEastAsia" w:hAnsi="Helvetica"/>
          <w:b/>
          <w:sz w:val="28"/>
          <w:szCs w:val="28"/>
        </w:rPr>
        <w:t>Action plan for January-December 2018</w:t>
      </w:r>
    </w:p>
    <w:p w14:paraId="2638C766" w14:textId="77777777" w:rsidR="00EF2846" w:rsidRPr="006C3E62" w:rsidRDefault="00EF2846" w:rsidP="00EF2846">
      <w:pPr>
        <w:jc w:val="center"/>
        <w:rPr>
          <w:rFonts w:ascii="Helvetica" w:eastAsiaTheme="majorEastAsia" w:hAnsi="Helvetica"/>
          <w:b/>
          <w:sz w:val="28"/>
          <w:szCs w:val="28"/>
        </w:rPr>
      </w:pPr>
    </w:p>
    <w:p w14:paraId="6B464894" w14:textId="771A899D" w:rsidR="00EF2846" w:rsidRPr="006C3E62" w:rsidRDefault="0056079A" w:rsidP="00EF2846">
      <w:pPr>
        <w:jc w:val="center"/>
        <w:rPr>
          <w:rFonts w:ascii="Helvetica" w:hAnsi="Helvetica"/>
          <w:b/>
          <w:bCs/>
          <w:sz w:val="28"/>
          <w:szCs w:val="28"/>
        </w:rPr>
      </w:pPr>
      <w:bookmarkStart w:id="0" w:name="_GoBack"/>
      <w:bookmarkEnd w:id="0"/>
      <w:r>
        <w:rPr>
          <w:rFonts w:ascii="Helvetica" w:eastAsiaTheme="majorEastAsia" w:hAnsi="Helvetica"/>
          <w:b/>
          <w:sz w:val="28"/>
          <w:szCs w:val="28"/>
        </w:rPr>
        <w:t>2</w:t>
      </w:r>
      <w:r w:rsidR="00CE44E4">
        <w:rPr>
          <w:rFonts w:ascii="Helvetica" w:eastAsiaTheme="majorEastAsia" w:hAnsi="Helvetica"/>
          <w:b/>
          <w:sz w:val="28"/>
          <w:szCs w:val="28"/>
        </w:rPr>
        <w:t>4</w:t>
      </w:r>
      <w:r w:rsidRPr="006C3E62">
        <w:rPr>
          <w:rFonts w:ascii="Helvetica" w:eastAsiaTheme="majorEastAsia" w:hAnsi="Helvetica"/>
          <w:b/>
          <w:sz w:val="28"/>
          <w:szCs w:val="28"/>
        </w:rPr>
        <w:t xml:space="preserve"> </w:t>
      </w:r>
      <w:r w:rsidR="00CE44E4">
        <w:rPr>
          <w:rFonts w:ascii="Helvetica" w:eastAsiaTheme="majorEastAsia" w:hAnsi="Helvetica"/>
          <w:b/>
          <w:sz w:val="28"/>
          <w:szCs w:val="28"/>
        </w:rPr>
        <w:t xml:space="preserve">February </w:t>
      </w:r>
      <w:r w:rsidR="00EF2846" w:rsidRPr="006C3E62">
        <w:rPr>
          <w:rFonts w:ascii="Helvetica" w:eastAsiaTheme="majorEastAsia" w:hAnsi="Helvetica"/>
          <w:b/>
          <w:sz w:val="28"/>
          <w:szCs w:val="28"/>
        </w:rPr>
        <w:t>201</w:t>
      </w:r>
      <w:r w:rsidR="00105492" w:rsidRPr="006C3E62">
        <w:rPr>
          <w:rFonts w:ascii="Helvetica" w:eastAsiaTheme="majorEastAsia" w:hAnsi="Helvetica"/>
          <w:b/>
          <w:sz w:val="28"/>
          <w:szCs w:val="28"/>
        </w:rPr>
        <w:t>8</w:t>
      </w:r>
    </w:p>
    <w:p w14:paraId="025B3C46" w14:textId="77777777" w:rsidR="00EF2846" w:rsidRPr="006C3E62" w:rsidRDefault="00EF2846" w:rsidP="00EF2846">
      <w:pPr>
        <w:rPr>
          <w:rFonts w:ascii="Helvetica" w:eastAsiaTheme="majorEastAsia" w:hAnsi="Helvetica"/>
          <w:sz w:val="28"/>
          <w:szCs w:val="28"/>
        </w:rPr>
      </w:pPr>
    </w:p>
    <w:p w14:paraId="0123E921" w14:textId="77777777" w:rsidR="00EF2846" w:rsidRPr="006C3E62" w:rsidRDefault="00EF2846" w:rsidP="00EF2846">
      <w:pPr>
        <w:rPr>
          <w:rFonts w:ascii="Helvetica" w:eastAsiaTheme="majorEastAsia" w:hAnsi="Helvetica"/>
          <w:b/>
          <w:sz w:val="28"/>
          <w:szCs w:val="28"/>
        </w:rPr>
      </w:pPr>
    </w:p>
    <w:p w14:paraId="59B34419" w14:textId="77777777" w:rsidR="00EF2846" w:rsidRPr="006C3E62" w:rsidRDefault="00EF2846" w:rsidP="00EF2846">
      <w:pPr>
        <w:jc w:val="center"/>
        <w:rPr>
          <w:rFonts w:ascii="Helvetica" w:eastAsiaTheme="majorEastAsia" w:hAnsi="Helvetica"/>
          <w:b/>
          <w:sz w:val="28"/>
          <w:szCs w:val="28"/>
        </w:rPr>
      </w:pPr>
      <w:r w:rsidRPr="006C3E62">
        <w:rPr>
          <w:rFonts w:ascii="Helvetica" w:eastAsiaTheme="majorEastAsia" w:hAnsi="Helvetica"/>
          <w:b/>
          <w:sz w:val="28"/>
          <w:szCs w:val="28"/>
        </w:rPr>
        <w:t>Summary</w:t>
      </w:r>
    </w:p>
    <w:p w14:paraId="4D484AE4" w14:textId="77777777" w:rsidR="00EF2846" w:rsidRPr="00261967" w:rsidRDefault="00EF2846" w:rsidP="00EF2846">
      <w:pPr>
        <w:rPr>
          <w:rFonts w:eastAsiaTheme="majorEastAsia"/>
          <w:sz w:val="28"/>
          <w:szCs w:val="28"/>
        </w:rPr>
      </w:pPr>
    </w:p>
    <w:p w14:paraId="696DF56D" w14:textId="7E2A5A9B"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The WHO-EU-LUX UHC Partnership (UHCP) enables the WHO Regional Office for Europe to scale up its support to Georgia as the Government of Georgia seeks to move towards universal health coverage (UHC): ensuring all people can use the quality health services they need without experiencing financial hardship.</w:t>
      </w:r>
    </w:p>
    <w:p w14:paraId="3A6D4651" w14:textId="77777777" w:rsidR="00EF2846" w:rsidRPr="006C3E62" w:rsidRDefault="00EF2846" w:rsidP="00EF2846">
      <w:pPr>
        <w:rPr>
          <w:rFonts w:ascii="Helvetica" w:eastAsiaTheme="majorEastAsia" w:hAnsi="Helvetica"/>
          <w:sz w:val="22"/>
          <w:szCs w:val="22"/>
        </w:rPr>
      </w:pPr>
    </w:p>
    <w:p w14:paraId="0D2F649A" w14:textId="77777777"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For now, WHO’s support to Georgia focuses mainly on developing the capacity of the purchasing agency (the Social Services Agency, SSA), with a view to enhancing efficiency in the organization and delivery of publicly financed health services.</w:t>
      </w:r>
    </w:p>
    <w:p w14:paraId="6E330CE2" w14:textId="77777777" w:rsidR="00EF2846" w:rsidRPr="006C3E62" w:rsidRDefault="00EF2846" w:rsidP="00EF2846">
      <w:pPr>
        <w:rPr>
          <w:rFonts w:ascii="Helvetica" w:eastAsiaTheme="majorEastAsia" w:hAnsi="Helvetica"/>
          <w:sz w:val="22"/>
          <w:szCs w:val="22"/>
        </w:rPr>
      </w:pPr>
    </w:p>
    <w:p w14:paraId="0EB7724B" w14:textId="3162FD83" w:rsidR="00F464A3"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 xml:space="preserve">This action plan </w:t>
      </w:r>
      <w:r w:rsidR="00F464A3" w:rsidRPr="006C3E62">
        <w:rPr>
          <w:rFonts w:ascii="Helvetica" w:eastAsiaTheme="majorEastAsia" w:hAnsi="Helvetica"/>
          <w:sz w:val="22"/>
          <w:szCs w:val="22"/>
        </w:rPr>
        <w:t xml:space="preserve">builds on </w:t>
      </w:r>
      <w:r w:rsidRPr="006C3E62">
        <w:rPr>
          <w:rFonts w:ascii="Helvetica" w:eastAsiaTheme="majorEastAsia" w:hAnsi="Helvetica"/>
          <w:sz w:val="22"/>
          <w:szCs w:val="22"/>
        </w:rPr>
        <w:t xml:space="preserve">the first six </w:t>
      </w:r>
      <w:r w:rsidR="00105492" w:rsidRPr="006C3E62">
        <w:rPr>
          <w:rFonts w:ascii="Helvetica" w:eastAsiaTheme="majorEastAsia" w:hAnsi="Helvetica"/>
          <w:sz w:val="22"/>
          <w:szCs w:val="22"/>
        </w:rPr>
        <w:t>months’</w:t>
      </w:r>
      <w:r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 xml:space="preserve">experiences </w:t>
      </w:r>
      <w:r w:rsidRPr="006C3E62">
        <w:rPr>
          <w:rFonts w:ascii="Helvetica" w:eastAsiaTheme="majorEastAsia" w:hAnsi="Helvetica"/>
          <w:sz w:val="22"/>
          <w:szCs w:val="22"/>
        </w:rPr>
        <w:t>of the UHCP in Georgia, from July to December 2017</w:t>
      </w:r>
      <w:r w:rsidR="00F464A3" w:rsidRPr="006C3E62">
        <w:rPr>
          <w:rFonts w:ascii="Helvetica" w:eastAsiaTheme="majorEastAsia" w:hAnsi="Helvetica"/>
          <w:sz w:val="22"/>
          <w:szCs w:val="22"/>
        </w:rPr>
        <w:t xml:space="preserve">, and covers </w:t>
      </w:r>
      <w:r w:rsidR="0056079A">
        <w:rPr>
          <w:rFonts w:ascii="Helvetica" w:eastAsiaTheme="majorEastAsia" w:hAnsi="Helvetica"/>
          <w:sz w:val="22"/>
          <w:szCs w:val="22"/>
        </w:rPr>
        <w:t xml:space="preserve">all </w:t>
      </w:r>
      <w:r w:rsidR="00F464A3" w:rsidRPr="006C3E62">
        <w:rPr>
          <w:rFonts w:ascii="Helvetica" w:eastAsiaTheme="majorEastAsia" w:hAnsi="Helvetica"/>
          <w:sz w:val="22"/>
          <w:szCs w:val="22"/>
        </w:rPr>
        <w:t xml:space="preserve">of 2018. After </w:t>
      </w:r>
      <w:r w:rsidR="0056079A">
        <w:rPr>
          <w:rFonts w:ascii="Helvetica" w:eastAsiaTheme="majorEastAsia" w:hAnsi="Helvetica"/>
          <w:sz w:val="22"/>
          <w:szCs w:val="22"/>
        </w:rPr>
        <w:t>discussion</w:t>
      </w:r>
      <w:r w:rsidR="0056079A" w:rsidRPr="006C3E62">
        <w:rPr>
          <w:rFonts w:ascii="Helvetica" w:eastAsiaTheme="majorEastAsia" w:hAnsi="Helvetica"/>
          <w:sz w:val="22"/>
          <w:szCs w:val="22"/>
        </w:rPr>
        <w:t xml:space="preserve"> </w:t>
      </w:r>
      <w:r w:rsidRPr="006C3E62">
        <w:rPr>
          <w:rFonts w:ascii="Helvetica" w:eastAsiaTheme="majorEastAsia" w:hAnsi="Helvetica"/>
          <w:sz w:val="22"/>
          <w:szCs w:val="22"/>
        </w:rPr>
        <w:t>with the Ministry of Labour, Health and Social Affairs (MOLHSA)</w:t>
      </w:r>
      <w:r w:rsidR="0056079A">
        <w:rPr>
          <w:rFonts w:ascii="Helvetica" w:eastAsiaTheme="majorEastAsia" w:hAnsi="Helvetica"/>
          <w:sz w:val="22"/>
          <w:szCs w:val="22"/>
        </w:rPr>
        <w:t>,</w:t>
      </w:r>
      <w:r w:rsidR="00105492"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key areas of work ha</w:t>
      </w:r>
      <w:r w:rsidR="0056079A">
        <w:rPr>
          <w:rFonts w:ascii="Helvetica" w:eastAsiaTheme="majorEastAsia" w:hAnsi="Helvetica"/>
          <w:sz w:val="22"/>
          <w:szCs w:val="22"/>
        </w:rPr>
        <w:t>ve</w:t>
      </w:r>
      <w:r w:rsidR="00F464A3" w:rsidRPr="006C3E62">
        <w:rPr>
          <w:rFonts w:ascii="Helvetica" w:eastAsiaTheme="majorEastAsia" w:hAnsi="Helvetica"/>
          <w:sz w:val="22"/>
          <w:szCs w:val="22"/>
        </w:rPr>
        <w:t xml:space="preserve"> been reduced from five to three to assure</w:t>
      </w:r>
      <w:r w:rsidR="0056079A">
        <w:rPr>
          <w:rFonts w:ascii="Helvetica" w:eastAsiaTheme="majorEastAsia" w:hAnsi="Helvetica"/>
          <w:sz w:val="22"/>
          <w:szCs w:val="22"/>
        </w:rPr>
        <w:t xml:space="preserve"> a</w:t>
      </w:r>
      <w:r w:rsidR="00F464A3" w:rsidRPr="006C3E62">
        <w:rPr>
          <w:rFonts w:ascii="Helvetica" w:eastAsiaTheme="majorEastAsia" w:hAnsi="Helvetica"/>
          <w:sz w:val="22"/>
          <w:szCs w:val="22"/>
        </w:rPr>
        <w:t xml:space="preserve"> stronger focus on </w:t>
      </w:r>
      <w:r w:rsidR="0056079A">
        <w:rPr>
          <w:rFonts w:ascii="Helvetica" w:eastAsiaTheme="majorEastAsia" w:hAnsi="Helvetica"/>
          <w:sz w:val="22"/>
          <w:szCs w:val="22"/>
        </w:rPr>
        <w:t xml:space="preserve">the ministry’s </w:t>
      </w:r>
      <w:r w:rsidR="00F464A3" w:rsidRPr="006C3E62">
        <w:rPr>
          <w:rFonts w:ascii="Helvetica" w:eastAsiaTheme="majorEastAsia" w:hAnsi="Helvetica"/>
          <w:sz w:val="22"/>
          <w:szCs w:val="22"/>
        </w:rPr>
        <w:t xml:space="preserve">priorities. </w:t>
      </w:r>
    </w:p>
    <w:p w14:paraId="09AD93E7" w14:textId="77777777" w:rsidR="00F464A3" w:rsidRPr="006C3E62" w:rsidRDefault="00F464A3" w:rsidP="00EF2846">
      <w:pPr>
        <w:rPr>
          <w:rFonts w:ascii="Helvetica" w:eastAsiaTheme="majorEastAsia" w:hAnsi="Helvetica"/>
          <w:sz w:val="22"/>
          <w:szCs w:val="22"/>
        </w:rPr>
      </w:pPr>
    </w:p>
    <w:p w14:paraId="14C85D60" w14:textId="6DC2C51E"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 xml:space="preserve">The action plan covers </w:t>
      </w:r>
      <w:r w:rsidR="00F464A3" w:rsidRPr="006C3E62">
        <w:rPr>
          <w:rFonts w:ascii="Helvetica" w:eastAsiaTheme="majorEastAsia" w:hAnsi="Helvetica"/>
          <w:sz w:val="22"/>
          <w:szCs w:val="22"/>
        </w:rPr>
        <w:t>the following three</w:t>
      </w:r>
      <w:r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 xml:space="preserve">key </w:t>
      </w:r>
      <w:r w:rsidRPr="006C3E62">
        <w:rPr>
          <w:rFonts w:ascii="Helvetica" w:eastAsiaTheme="majorEastAsia" w:hAnsi="Helvetica"/>
          <w:sz w:val="22"/>
          <w:szCs w:val="22"/>
        </w:rPr>
        <w:t>areas:</w:t>
      </w:r>
    </w:p>
    <w:p w14:paraId="1E60D7EF" w14:textId="1992F2E7" w:rsidR="00F464A3" w:rsidRPr="006C3E62" w:rsidRDefault="00EF2846"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P</w:t>
      </w:r>
      <w:r w:rsidR="00F464A3" w:rsidRPr="006C3E62">
        <w:rPr>
          <w:rFonts w:ascii="Helvetica" w:eastAsiaTheme="majorEastAsia" w:hAnsi="Helvetica"/>
        </w:rPr>
        <w:t>reparing</w:t>
      </w:r>
      <w:r w:rsidRPr="006C3E62">
        <w:rPr>
          <w:rFonts w:ascii="Helvetica" w:eastAsiaTheme="majorEastAsia" w:hAnsi="Helvetica"/>
        </w:rPr>
        <w:t xml:space="preserve"> </w:t>
      </w:r>
      <w:r w:rsidR="0056079A">
        <w:rPr>
          <w:rFonts w:ascii="Helvetica" w:eastAsiaTheme="majorEastAsia" w:hAnsi="Helvetica"/>
        </w:rPr>
        <w:t xml:space="preserve">a </w:t>
      </w:r>
      <w:r w:rsidR="00F464A3" w:rsidRPr="006C3E62">
        <w:rPr>
          <w:rFonts w:ascii="Helvetica" w:eastAsiaTheme="majorEastAsia" w:hAnsi="Helvetica"/>
        </w:rPr>
        <w:t>strategy</w:t>
      </w:r>
      <w:r w:rsidRPr="006C3E62">
        <w:rPr>
          <w:rFonts w:ascii="Helvetica" w:eastAsiaTheme="majorEastAsia" w:hAnsi="Helvetica"/>
        </w:rPr>
        <w:t xml:space="preserve"> for strategic purchasing</w:t>
      </w:r>
      <w:r w:rsidR="00F464A3" w:rsidRPr="006C3E62">
        <w:rPr>
          <w:rFonts w:ascii="Helvetica" w:eastAsiaTheme="majorEastAsia" w:hAnsi="Helvetica"/>
        </w:rPr>
        <w:t xml:space="preserve"> and providing support to increase </w:t>
      </w:r>
      <w:r w:rsidR="0056079A">
        <w:rPr>
          <w:rFonts w:ascii="Helvetica" w:eastAsiaTheme="majorEastAsia" w:hAnsi="Helvetica"/>
        </w:rPr>
        <w:t xml:space="preserve">the </w:t>
      </w:r>
      <w:r w:rsidR="00F464A3" w:rsidRPr="006C3E62">
        <w:rPr>
          <w:rFonts w:ascii="Helvetica" w:eastAsiaTheme="majorEastAsia" w:hAnsi="Helvetica"/>
        </w:rPr>
        <w:t xml:space="preserve">SSA’s capacity to implement </w:t>
      </w:r>
      <w:r w:rsidR="0056079A">
        <w:rPr>
          <w:rFonts w:ascii="Helvetica" w:eastAsiaTheme="majorEastAsia" w:hAnsi="Helvetica"/>
        </w:rPr>
        <w:t xml:space="preserve">the </w:t>
      </w:r>
      <w:r w:rsidR="00F464A3" w:rsidRPr="006C3E62">
        <w:rPr>
          <w:rFonts w:ascii="Helvetica" w:eastAsiaTheme="majorEastAsia" w:hAnsi="Helvetica"/>
        </w:rPr>
        <w:t>strategy</w:t>
      </w:r>
    </w:p>
    <w:p w14:paraId="1E4131EC" w14:textId="158F7421" w:rsidR="00F464A3" w:rsidRPr="006C3E62" w:rsidRDefault="00EF2846"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Support</w:t>
      </w:r>
      <w:r w:rsidR="00F464A3" w:rsidRPr="006C3E62">
        <w:rPr>
          <w:rFonts w:ascii="Helvetica" w:eastAsiaTheme="majorEastAsia" w:hAnsi="Helvetica"/>
        </w:rPr>
        <w:t>ing DRG implementation and providing support to strengthen strategic purchasing</w:t>
      </w:r>
    </w:p>
    <w:p w14:paraId="49B6B62F" w14:textId="201660E2" w:rsidR="00EF2846" w:rsidRPr="006C3E62" w:rsidRDefault="00C0125E"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 xml:space="preserve">Designing </w:t>
      </w:r>
      <w:r w:rsidR="00EF2846" w:rsidRPr="006C3E62">
        <w:rPr>
          <w:rFonts w:ascii="Helvetica" w:eastAsiaTheme="majorEastAsia" w:hAnsi="Helvetica"/>
        </w:rPr>
        <w:t>best practice patient pathways for selected priority clinical areas</w:t>
      </w:r>
      <w:r w:rsidR="00F464A3" w:rsidRPr="006C3E62">
        <w:rPr>
          <w:rFonts w:ascii="Helvetica" w:eastAsiaTheme="majorEastAsia" w:hAnsi="Helvetica"/>
        </w:rPr>
        <w:t xml:space="preserve"> and </w:t>
      </w:r>
      <w:r w:rsidRPr="006C3E62">
        <w:rPr>
          <w:rFonts w:ascii="Helvetica" w:eastAsiaTheme="majorEastAsia" w:hAnsi="Helvetica"/>
        </w:rPr>
        <w:t xml:space="preserve">developing </w:t>
      </w:r>
      <w:r w:rsidR="00F464A3" w:rsidRPr="006C3E62">
        <w:rPr>
          <w:rFonts w:ascii="Helvetica" w:eastAsiaTheme="majorEastAsia" w:hAnsi="Helvetica"/>
        </w:rPr>
        <w:t>tools to support their implementation</w:t>
      </w:r>
    </w:p>
    <w:p w14:paraId="7373A3EB" w14:textId="77777777" w:rsidR="00EF2846" w:rsidRPr="006C3E62" w:rsidRDefault="00EF2846" w:rsidP="00EF2846">
      <w:pPr>
        <w:rPr>
          <w:rFonts w:ascii="Helvetica" w:eastAsiaTheme="majorEastAsia" w:hAnsi="Helvetica"/>
          <w:sz w:val="22"/>
          <w:szCs w:val="22"/>
        </w:rPr>
      </w:pPr>
    </w:p>
    <w:p w14:paraId="36646EBA" w14:textId="77777777"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These activities have been selected based on WHO’s work in Georgia since 2012. They aim to support the implementation of our key recommendations on strategic purchasing</w:t>
      </w:r>
      <w:r w:rsidRPr="006C3E62">
        <w:rPr>
          <w:rFonts w:ascii="Helvetica" w:hAnsi="Helvetica"/>
          <w:sz w:val="22"/>
          <w:szCs w:val="22"/>
        </w:rPr>
        <w:t>, set out in the 2016 WHO report ‘</w:t>
      </w:r>
      <w:r w:rsidRPr="006C3E62">
        <w:rPr>
          <w:rFonts w:ascii="Helvetica" w:hAnsi="Helvetica"/>
          <w:color w:val="000000" w:themeColor="text1"/>
          <w:sz w:val="22"/>
          <w:szCs w:val="22"/>
        </w:rPr>
        <w:t>Active purchasing for universal health coverage in Georgia: situation analysis and options for improvement’, which was the basis for recommendations on purchasing in the World Bank’s 2017 public expenditure review.</w:t>
      </w:r>
    </w:p>
    <w:p w14:paraId="45F89A6E" w14:textId="77777777" w:rsidR="00EF2846" w:rsidRPr="006C3E62" w:rsidRDefault="00EF2846" w:rsidP="00EF2846">
      <w:pPr>
        <w:rPr>
          <w:rFonts w:ascii="Helvetica" w:eastAsiaTheme="majorEastAsia" w:hAnsi="Helvetica"/>
          <w:sz w:val="22"/>
          <w:szCs w:val="22"/>
        </w:rPr>
      </w:pPr>
    </w:p>
    <w:p w14:paraId="6D494506" w14:textId="584C4F1C"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Table 1 gives an overview of the objectives</w:t>
      </w:r>
      <w:r w:rsidR="00105492" w:rsidRPr="006C3E62">
        <w:rPr>
          <w:rFonts w:ascii="Helvetica" w:eastAsiaTheme="majorEastAsia" w:hAnsi="Helvetica"/>
          <w:sz w:val="22"/>
          <w:szCs w:val="22"/>
        </w:rPr>
        <w:t xml:space="preserve"> and</w:t>
      </w:r>
      <w:r w:rsidRPr="006C3E62">
        <w:rPr>
          <w:rFonts w:ascii="Helvetica" w:eastAsiaTheme="majorEastAsia" w:hAnsi="Helvetica"/>
          <w:sz w:val="22"/>
          <w:szCs w:val="22"/>
        </w:rPr>
        <w:t xml:space="preserve"> outcomes of the </w:t>
      </w:r>
      <w:r w:rsidR="00105492" w:rsidRPr="006C3E62">
        <w:rPr>
          <w:rFonts w:ascii="Helvetica" w:eastAsiaTheme="majorEastAsia" w:hAnsi="Helvetica"/>
          <w:sz w:val="22"/>
          <w:szCs w:val="22"/>
        </w:rPr>
        <w:t>three</w:t>
      </w:r>
      <w:r w:rsidRPr="006C3E62">
        <w:rPr>
          <w:rFonts w:ascii="Helvetica" w:eastAsiaTheme="majorEastAsia" w:hAnsi="Helvetica"/>
          <w:sz w:val="22"/>
          <w:szCs w:val="22"/>
        </w:rPr>
        <w:t xml:space="preserve"> activities. The following pages provide a more detailed description of each activity. </w:t>
      </w:r>
    </w:p>
    <w:p w14:paraId="2EE9F9EE" w14:textId="77777777" w:rsidR="00EF2846" w:rsidRPr="006C3E62" w:rsidRDefault="00EF2846" w:rsidP="00EF2846">
      <w:pPr>
        <w:rPr>
          <w:rFonts w:ascii="Helvetica" w:eastAsiaTheme="majorEastAsia" w:hAnsi="Helvetica"/>
          <w:sz w:val="22"/>
          <w:szCs w:val="22"/>
        </w:rPr>
      </w:pPr>
    </w:p>
    <w:p w14:paraId="6125F7F3" w14:textId="3DA44782" w:rsidR="00EF2846" w:rsidRPr="006C3E62" w:rsidRDefault="00EF2846" w:rsidP="00EF2846">
      <w:pPr>
        <w:rPr>
          <w:rFonts w:ascii="Helvetica" w:eastAsiaTheme="majorEastAsia" w:hAnsi="Helvetica"/>
          <w:sz w:val="22"/>
          <w:szCs w:val="22"/>
        </w:rPr>
        <w:sectPr w:rsidR="00EF2846" w:rsidRPr="006C3E62" w:rsidSect="00266D21">
          <w:footerReference w:type="default" r:id="rId10"/>
          <w:pgSz w:w="11906" w:h="16838"/>
          <w:pgMar w:top="1440" w:right="1440" w:bottom="1440" w:left="1440" w:header="708" w:footer="708" w:gutter="0"/>
          <w:cols w:space="708"/>
          <w:docGrid w:linePitch="360"/>
        </w:sectPr>
      </w:pPr>
      <w:r w:rsidRPr="006C3E62">
        <w:rPr>
          <w:rFonts w:ascii="Helvetica" w:eastAsiaTheme="majorEastAsia" w:hAnsi="Helvetica"/>
          <w:sz w:val="22"/>
          <w:szCs w:val="22"/>
        </w:rPr>
        <w:t>Technical support for the UHCP in Georgia is led by the WHO Barcelona Office for Health Systems Strengthening, which is part of the Division of Health Systems and Public Health of the WHO Regional Office for Europe</w:t>
      </w:r>
      <w:r w:rsidR="0056079A">
        <w:rPr>
          <w:rFonts w:ascii="Helvetica" w:eastAsiaTheme="majorEastAsia" w:hAnsi="Helvetica"/>
          <w:sz w:val="22"/>
          <w:szCs w:val="22"/>
        </w:rPr>
        <w:t xml:space="preserve">, </w:t>
      </w:r>
      <w:r w:rsidRPr="006C3E62">
        <w:rPr>
          <w:rFonts w:ascii="Helvetica" w:eastAsiaTheme="majorEastAsia" w:hAnsi="Helvetica"/>
          <w:sz w:val="22"/>
          <w:szCs w:val="22"/>
        </w:rPr>
        <w:t>work</w:t>
      </w:r>
      <w:r w:rsidR="0056079A">
        <w:rPr>
          <w:rFonts w:ascii="Helvetica" w:eastAsiaTheme="majorEastAsia" w:hAnsi="Helvetica"/>
          <w:sz w:val="22"/>
          <w:szCs w:val="22"/>
        </w:rPr>
        <w:t>ing</w:t>
      </w:r>
      <w:r w:rsidRPr="006C3E62">
        <w:rPr>
          <w:rFonts w:ascii="Helvetica" w:eastAsiaTheme="majorEastAsia" w:hAnsi="Helvetica"/>
          <w:sz w:val="22"/>
          <w:szCs w:val="22"/>
        </w:rPr>
        <w:t xml:space="preserve"> closely with the WHO Country Office in Georgia and draw</w:t>
      </w:r>
      <w:r w:rsidR="0056079A">
        <w:rPr>
          <w:rFonts w:ascii="Helvetica" w:eastAsiaTheme="majorEastAsia" w:hAnsi="Helvetica"/>
          <w:sz w:val="22"/>
          <w:szCs w:val="22"/>
        </w:rPr>
        <w:t>ing</w:t>
      </w:r>
      <w:r w:rsidRPr="006C3E62">
        <w:rPr>
          <w:rFonts w:ascii="Helvetica" w:eastAsiaTheme="majorEastAsia" w:hAnsi="Helvetica"/>
          <w:sz w:val="22"/>
          <w:szCs w:val="22"/>
        </w:rPr>
        <w:t xml:space="preserve"> on other technical units in the Division </w:t>
      </w:r>
      <w:r w:rsidR="0056079A">
        <w:rPr>
          <w:rFonts w:ascii="Helvetica" w:eastAsiaTheme="majorEastAsia" w:hAnsi="Helvetica"/>
          <w:sz w:val="22"/>
          <w:szCs w:val="22"/>
        </w:rPr>
        <w:t xml:space="preserve">(and beyond) </w:t>
      </w:r>
      <w:r w:rsidRPr="006C3E62">
        <w:rPr>
          <w:rFonts w:ascii="Helvetica" w:eastAsiaTheme="majorEastAsia" w:hAnsi="Helvetica"/>
          <w:sz w:val="22"/>
          <w:szCs w:val="22"/>
        </w:rPr>
        <w:t>as needed.</w:t>
      </w:r>
      <w:r w:rsidR="00D7498E" w:rsidRPr="006C3E62">
        <w:rPr>
          <w:rFonts w:ascii="Helvetica" w:eastAsiaTheme="majorEastAsia" w:hAnsi="Helvetica"/>
          <w:sz w:val="22"/>
          <w:szCs w:val="22"/>
        </w:rPr>
        <w:t xml:space="preserve"> </w:t>
      </w:r>
    </w:p>
    <w:p w14:paraId="08A612FA" w14:textId="24A82857" w:rsidR="00EF2846" w:rsidRPr="00DB378B" w:rsidRDefault="00EF2846" w:rsidP="00EF2846">
      <w:pPr>
        <w:pStyle w:val="Heading1"/>
        <w:spacing w:before="0"/>
        <w:rPr>
          <w:rFonts w:ascii="Helvetica" w:hAnsi="Helvetica"/>
          <w:b/>
          <w:color w:val="000000" w:themeColor="text1"/>
          <w:sz w:val="28"/>
          <w:szCs w:val="28"/>
        </w:rPr>
      </w:pPr>
      <w:bookmarkStart w:id="1" w:name="_Ref483556123"/>
      <w:r w:rsidRPr="00DB378B">
        <w:rPr>
          <w:rFonts w:ascii="Helvetica" w:hAnsi="Helvetica"/>
          <w:b/>
          <w:color w:val="000000" w:themeColor="text1"/>
          <w:sz w:val="28"/>
          <w:szCs w:val="28"/>
        </w:rPr>
        <w:lastRenderedPageBreak/>
        <w:t>Table 1 Summary of WHO-EU-LUX UHCP activities, objectives</w:t>
      </w:r>
      <w:r w:rsidR="00D7498E" w:rsidRPr="00DB378B">
        <w:rPr>
          <w:rFonts w:ascii="Helvetica" w:hAnsi="Helvetica"/>
          <w:b/>
          <w:color w:val="000000" w:themeColor="text1"/>
          <w:sz w:val="28"/>
          <w:szCs w:val="28"/>
        </w:rPr>
        <w:t xml:space="preserve"> and </w:t>
      </w:r>
      <w:r w:rsidRPr="00DB378B">
        <w:rPr>
          <w:rFonts w:ascii="Helvetica" w:hAnsi="Helvetica"/>
          <w:b/>
          <w:color w:val="000000" w:themeColor="text1"/>
          <w:sz w:val="28"/>
          <w:szCs w:val="28"/>
        </w:rPr>
        <w:t>outcomes</w:t>
      </w:r>
      <w:bookmarkEnd w:id="1"/>
      <w:r w:rsidRPr="00DB378B">
        <w:rPr>
          <w:rFonts w:ascii="Helvetica" w:hAnsi="Helvetica"/>
          <w:b/>
          <w:color w:val="000000" w:themeColor="text1"/>
          <w:sz w:val="28"/>
          <w:szCs w:val="28"/>
        </w:rPr>
        <w:t xml:space="preserve"> </w:t>
      </w:r>
      <w:r w:rsidR="00D7498E" w:rsidRPr="00DB378B">
        <w:rPr>
          <w:rFonts w:ascii="Helvetica" w:hAnsi="Helvetica"/>
          <w:b/>
          <w:color w:val="000000" w:themeColor="text1"/>
          <w:sz w:val="28"/>
          <w:szCs w:val="28"/>
        </w:rPr>
        <w:t>(January – December 2018)</w:t>
      </w:r>
    </w:p>
    <w:p w14:paraId="6632B14C" w14:textId="77777777" w:rsidR="00EF2846" w:rsidRPr="00A9538F" w:rsidRDefault="00EF2846" w:rsidP="00EF2846"/>
    <w:tbl>
      <w:tblPr>
        <w:tblStyle w:val="TableGrid"/>
        <w:tblW w:w="5000" w:type="pct"/>
        <w:tblLook w:val="04A0" w:firstRow="1" w:lastRow="0" w:firstColumn="1" w:lastColumn="0" w:noHBand="0" w:noVBand="1"/>
      </w:tblPr>
      <w:tblGrid>
        <w:gridCol w:w="531"/>
        <w:gridCol w:w="3381"/>
        <w:gridCol w:w="5410"/>
        <w:gridCol w:w="5428"/>
      </w:tblGrid>
      <w:tr w:rsidR="008A1BB1" w:rsidRPr="00DB378B" w14:paraId="59825D7D" w14:textId="77777777" w:rsidTr="008A1BB1">
        <w:trPr>
          <w:trHeight w:val="413"/>
          <w:tblHeader/>
        </w:trPr>
        <w:tc>
          <w:tcPr>
            <w:tcW w:w="180" w:type="pct"/>
            <w:vAlign w:val="center"/>
          </w:tcPr>
          <w:p w14:paraId="41C89E74" w14:textId="77777777" w:rsidR="00D7498E" w:rsidRPr="00DB378B" w:rsidRDefault="00D7498E" w:rsidP="005861F4">
            <w:pPr>
              <w:jc w:val="center"/>
              <w:rPr>
                <w:rFonts w:ascii="Helvetica" w:hAnsi="Helvetica"/>
                <w:b/>
                <w:sz w:val="22"/>
                <w:szCs w:val="22"/>
              </w:rPr>
            </w:pPr>
          </w:p>
        </w:tc>
        <w:tc>
          <w:tcPr>
            <w:tcW w:w="1146" w:type="pct"/>
            <w:vAlign w:val="center"/>
          </w:tcPr>
          <w:p w14:paraId="4873ACEB"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Activity</w:t>
            </w:r>
          </w:p>
        </w:tc>
        <w:tc>
          <w:tcPr>
            <w:tcW w:w="1834" w:type="pct"/>
            <w:vAlign w:val="center"/>
          </w:tcPr>
          <w:p w14:paraId="18BD98FA"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Objectives</w:t>
            </w:r>
          </w:p>
        </w:tc>
        <w:tc>
          <w:tcPr>
            <w:tcW w:w="1840" w:type="pct"/>
            <w:vAlign w:val="center"/>
          </w:tcPr>
          <w:p w14:paraId="3CA26DFC"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Outcomes</w:t>
            </w:r>
          </w:p>
        </w:tc>
      </w:tr>
      <w:tr w:rsidR="008A1BB1" w:rsidRPr="00DB378B" w14:paraId="174B2F86" w14:textId="77777777" w:rsidTr="008A1BB1">
        <w:trPr>
          <w:trHeight w:val="1358"/>
        </w:trPr>
        <w:tc>
          <w:tcPr>
            <w:tcW w:w="180" w:type="pct"/>
            <w:vAlign w:val="center"/>
          </w:tcPr>
          <w:p w14:paraId="41FAA005" w14:textId="0BF7C5AB" w:rsidR="00D7498E" w:rsidRPr="00DB378B" w:rsidRDefault="008A1BB1" w:rsidP="005861F4">
            <w:pPr>
              <w:rPr>
                <w:rFonts w:ascii="Helvetica" w:eastAsiaTheme="majorEastAsia" w:hAnsi="Helvetica"/>
                <w:b/>
                <w:sz w:val="22"/>
                <w:szCs w:val="22"/>
              </w:rPr>
            </w:pPr>
            <w:r w:rsidRPr="00DB378B">
              <w:rPr>
                <w:rFonts w:ascii="Helvetica" w:eastAsiaTheme="majorEastAsia" w:hAnsi="Helvetica"/>
                <w:b/>
                <w:sz w:val="22"/>
                <w:szCs w:val="22"/>
              </w:rPr>
              <w:t>1</w:t>
            </w:r>
          </w:p>
        </w:tc>
        <w:tc>
          <w:tcPr>
            <w:tcW w:w="1146" w:type="pct"/>
            <w:vAlign w:val="center"/>
          </w:tcPr>
          <w:p w14:paraId="46D9BC81" w14:textId="24835D8E" w:rsidR="00D7498E" w:rsidRPr="00DB378B" w:rsidRDefault="00D7498E" w:rsidP="005861F4">
            <w:pPr>
              <w:rPr>
                <w:rFonts w:ascii="Helvetica" w:eastAsiaTheme="majorEastAsia" w:hAnsi="Helvetica"/>
                <w:sz w:val="22"/>
                <w:szCs w:val="22"/>
              </w:rPr>
            </w:pPr>
            <w:r w:rsidRPr="00DB378B">
              <w:rPr>
                <w:rFonts w:ascii="Helvetica" w:hAnsi="Helvetica"/>
                <w:sz w:val="22"/>
                <w:szCs w:val="22"/>
              </w:rPr>
              <w:t>Technical assistance</w:t>
            </w:r>
            <w:r w:rsidRPr="00DB378B">
              <w:rPr>
                <w:rFonts w:ascii="Helvetica" w:eastAsiaTheme="majorEastAsia" w:hAnsi="Helvetica"/>
                <w:sz w:val="22"/>
                <w:szCs w:val="22"/>
              </w:rPr>
              <w:t xml:space="preserve"> (TA)</w:t>
            </w:r>
            <w:r w:rsidR="008A1BB1" w:rsidRPr="00DB378B">
              <w:rPr>
                <w:rFonts w:ascii="Helvetica" w:hAnsi="Helvetica"/>
                <w:sz w:val="22"/>
                <w:szCs w:val="22"/>
              </w:rPr>
              <w:t xml:space="preserve"> </w:t>
            </w:r>
            <w:r w:rsidR="008A1BB1" w:rsidRPr="00DB378B">
              <w:rPr>
                <w:rFonts w:ascii="Helvetica" w:eastAsiaTheme="majorEastAsia" w:hAnsi="Helvetica"/>
                <w:sz w:val="22"/>
                <w:szCs w:val="22"/>
              </w:rPr>
              <w:t>to develop strategy for strategic purchasing and to strengthen SSA’s administrative capacity to effectively implement strategy</w:t>
            </w:r>
          </w:p>
        </w:tc>
        <w:tc>
          <w:tcPr>
            <w:tcW w:w="1834" w:type="pct"/>
            <w:vAlign w:val="center"/>
          </w:tcPr>
          <w:p w14:paraId="2A216ECA" w14:textId="4B9D333B" w:rsidR="00D7498E" w:rsidRPr="00D06539" w:rsidRDefault="008A1BB1" w:rsidP="005861F4">
            <w:pPr>
              <w:rPr>
                <w:rFonts w:ascii="Helvetica" w:hAnsi="Helvetica"/>
                <w:sz w:val="22"/>
                <w:szCs w:val="22"/>
                <w:lang w:val="en-GB"/>
              </w:rPr>
            </w:pPr>
            <w:r w:rsidRPr="00D06539">
              <w:rPr>
                <w:rFonts w:ascii="Helvetica" w:eastAsiaTheme="majorEastAsia" w:hAnsi="Helvetica"/>
                <w:sz w:val="22"/>
                <w:szCs w:val="22"/>
                <w:lang w:val="en-GB"/>
              </w:rPr>
              <w:t xml:space="preserve">To support the development and implementation of </w:t>
            </w:r>
            <w:r w:rsidR="0056079A">
              <w:rPr>
                <w:rFonts w:ascii="Helvetica" w:eastAsiaTheme="majorEastAsia" w:hAnsi="Helvetica"/>
                <w:sz w:val="22"/>
                <w:szCs w:val="22"/>
                <w:lang w:val="en-GB"/>
              </w:rPr>
              <w:t xml:space="preserve">a </w:t>
            </w:r>
            <w:r w:rsidRPr="00D06539">
              <w:rPr>
                <w:rFonts w:ascii="Helvetica" w:eastAsiaTheme="majorEastAsia" w:hAnsi="Helvetica"/>
                <w:sz w:val="22"/>
                <w:szCs w:val="22"/>
                <w:lang w:val="en-GB"/>
              </w:rPr>
              <w:t xml:space="preserve">strategy for strategic purchasing to enhance efficiency in the organisation and delivery of publicly financed health services and to increase </w:t>
            </w:r>
            <w:r w:rsidR="0056079A">
              <w:rPr>
                <w:rFonts w:ascii="Helvetica" w:eastAsiaTheme="majorEastAsia" w:hAnsi="Helvetica"/>
                <w:sz w:val="22"/>
                <w:szCs w:val="22"/>
                <w:lang w:val="en-GB"/>
              </w:rPr>
              <w:t xml:space="preserve">the </w:t>
            </w:r>
            <w:r w:rsidRPr="00D06539">
              <w:rPr>
                <w:rFonts w:ascii="Helvetica" w:eastAsiaTheme="majorEastAsia" w:hAnsi="Helvetica"/>
                <w:sz w:val="22"/>
                <w:szCs w:val="22"/>
                <w:lang w:val="en-GB"/>
              </w:rPr>
              <w:t>SSA’s organisational capacity for strategic purchasing</w:t>
            </w:r>
          </w:p>
        </w:tc>
        <w:tc>
          <w:tcPr>
            <w:tcW w:w="1840" w:type="pct"/>
            <w:vAlign w:val="center"/>
          </w:tcPr>
          <w:p w14:paraId="49B00672" w14:textId="390E0A01" w:rsidR="008A1BB1" w:rsidRPr="00DB378B" w:rsidRDefault="0056079A" w:rsidP="000C380E">
            <w:pPr>
              <w:pStyle w:val="ListParagraph"/>
              <w:numPr>
                <w:ilvl w:val="0"/>
                <w:numId w:val="2"/>
              </w:numPr>
              <w:rPr>
                <w:rFonts w:ascii="Helvetica" w:eastAsiaTheme="majorEastAsia" w:hAnsi="Helvetica"/>
              </w:rPr>
            </w:pPr>
            <w:r>
              <w:rPr>
                <w:rFonts w:ascii="Helvetica" w:eastAsiaTheme="majorEastAsia" w:hAnsi="Helvetica"/>
              </w:rPr>
              <w:t>A s</w:t>
            </w:r>
            <w:r w:rsidR="008A1BB1" w:rsidRPr="00DB378B">
              <w:rPr>
                <w:rFonts w:ascii="Helvetica" w:eastAsiaTheme="majorEastAsia" w:hAnsi="Helvetica"/>
              </w:rPr>
              <w:t>trategy for strategic purchasing base</w:t>
            </w:r>
            <w:r>
              <w:rPr>
                <w:rFonts w:ascii="Helvetica" w:eastAsiaTheme="majorEastAsia" w:hAnsi="Helvetica"/>
              </w:rPr>
              <w:t>d</w:t>
            </w:r>
            <w:r w:rsidR="008A1BB1" w:rsidRPr="00DB378B">
              <w:rPr>
                <w:rFonts w:ascii="Helvetica" w:eastAsiaTheme="majorEastAsia" w:hAnsi="Helvetica"/>
              </w:rPr>
              <w:t xml:space="preserve"> on international evidence and </w:t>
            </w:r>
            <w:r>
              <w:rPr>
                <w:rFonts w:ascii="Helvetica" w:eastAsiaTheme="majorEastAsia" w:hAnsi="Helvetica"/>
              </w:rPr>
              <w:t>the</w:t>
            </w:r>
            <w:r w:rsidR="008A1BB1" w:rsidRPr="00DB378B">
              <w:rPr>
                <w:rFonts w:ascii="Helvetica" w:eastAsiaTheme="majorEastAsia" w:hAnsi="Helvetica"/>
              </w:rPr>
              <w:t xml:space="preserve"> Georgian health system context  </w:t>
            </w:r>
          </w:p>
          <w:p w14:paraId="56A770E0" w14:textId="6AA28FD8" w:rsidR="00D7498E" w:rsidRPr="00DB378B" w:rsidRDefault="008A1BB1" w:rsidP="0056079A">
            <w:pPr>
              <w:pStyle w:val="ListParagraph"/>
              <w:numPr>
                <w:ilvl w:val="0"/>
                <w:numId w:val="2"/>
              </w:numPr>
              <w:rPr>
                <w:rFonts w:ascii="Helvetica" w:eastAsiaTheme="majorEastAsia" w:hAnsi="Helvetica"/>
              </w:rPr>
            </w:pPr>
            <w:r w:rsidRPr="00DB378B">
              <w:rPr>
                <w:rFonts w:ascii="Helvetica" w:eastAsiaTheme="majorEastAsia" w:hAnsi="Helvetica"/>
              </w:rPr>
              <w:t xml:space="preserve">Increased capacity </w:t>
            </w:r>
            <w:r w:rsidR="0056079A">
              <w:rPr>
                <w:rFonts w:ascii="Helvetica" w:eastAsiaTheme="majorEastAsia" w:hAnsi="Helvetica"/>
              </w:rPr>
              <w:t xml:space="preserve">of the SSA </w:t>
            </w:r>
            <w:r w:rsidRPr="00DB378B">
              <w:rPr>
                <w:rFonts w:ascii="Helvetica" w:eastAsiaTheme="majorEastAsia" w:hAnsi="Helvetica"/>
              </w:rPr>
              <w:t xml:space="preserve">to effectively implement </w:t>
            </w:r>
            <w:r w:rsidR="0056079A">
              <w:rPr>
                <w:rFonts w:ascii="Helvetica" w:eastAsiaTheme="majorEastAsia" w:hAnsi="Helvetica"/>
              </w:rPr>
              <w:t xml:space="preserve">the </w:t>
            </w:r>
            <w:r w:rsidRPr="00DB378B">
              <w:rPr>
                <w:rFonts w:ascii="Helvetica" w:eastAsiaTheme="majorEastAsia" w:hAnsi="Helvetica"/>
              </w:rPr>
              <w:t>strategy for strategic purchasing</w:t>
            </w:r>
          </w:p>
        </w:tc>
      </w:tr>
      <w:tr w:rsidR="008A1BB1" w:rsidRPr="00DB378B" w14:paraId="479D1084" w14:textId="77777777" w:rsidTr="008A1BB1">
        <w:tc>
          <w:tcPr>
            <w:tcW w:w="180" w:type="pct"/>
            <w:vAlign w:val="center"/>
          </w:tcPr>
          <w:p w14:paraId="3A6AEB57" w14:textId="6D9AC004" w:rsidR="00D7498E" w:rsidRPr="00DB378B" w:rsidRDefault="00DB378B" w:rsidP="005861F4">
            <w:pPr>
              <w:rPr>
                <w:rFonts w:ascii="Helvetica" w:eastAsiaTheme="majorEastAsia" w:hAnsi="Helvetica"/>
                <w:b/>
                <w:sz w:val="22"/>
                <w:szCs w:val="22"/>
              </w:rPr>
            </w:pPr>
            <w:r w:rsidRPr="00DB378B">
              <w:rPr>
                <w:rFonts w:ascii="Helvetica" w:eastAsiaTheme="majorEastAsia" w:hAnsi="Helvetica"/>
                <w:b/>
                <w:sz w:val="22"/>
                <w:szCs w:val="22"/>
              </w:rPr>
              <w:t>2</w:t>
            </w:r>
          </w:p>
        </w:tc>
        <w:tc>
          <w:tcPr>
            <w:tcW w:w="1146" w:type="pct"/>
            <w:vAlign w:val="center"/>
          </w:tcPr>
          <w:p w14:paraId="32D34345" w14:textId="0666EB6A" w:rsidR="00D7498E" w:rsidRPr="00DB378B" w:rsidRDefault="008A1BB1" w:rsidP="005861F4">
            <w:pPr>
              <w:rPr>
                <w:rFonts w:ascii="Helvetica" w:hAnsi="Helvetica"/>
                <w:sz w:val="22"/>
                <w:szCs w:val="22"/>
              </w:rPr>
            </w:pPr>
            <w:r w:rsidRPr="00DB378B">
              <w:rPr>
                <w:rFonts w:ascii="Helvetica" w:hAnsi="Helvetica"/>
                <w:sz w:val="22"/>
                <w:szCs w:val="22"/>
              </w:rPr>
              <w:t>TA to support DRG implementation and enhancement of other elements of strategic purchasing to increase the value for public funds</w:t>
            </w:r>
          </w:p>
        </w:tc>
        <w:tc>
          <w:tcPr>
            <w:tcW w:w="1834" w:type="pct"/>
            <w:vAlign w:val="center"/>
          </w:tcPr>
          <w:p w14:paraId="6DC87FA9" w14:textId="68C32DA1" w:rsidR="00D7498E" w:rsidRPr="00DB378B" w:rsidRDefault="00D7498E" w:rsidP="005861F4">
            <w:pPr>
              <w:rPr>
                <w:rFonts w:ascii="Helvetica" w:hAnsi="Helvetica"/>
                <w:sz w:val="22"/>
                <w:szCs w:val="22"/>
              </w:rPr>
            </w:pPr>
            <w:r w:rsidRPr="00DB378B">
              <w:rPr>
                <w:rFonts w:ascii="Helvetica" w:eastAsiaTheme="majorEastAsia" w:hAnsi="Helvetica"/>
                <w:sz w:val="22"/>
                <w:szCs w:val="22"/>
              </w:rPr>
              <w:t>To improve the SSA’s institutional capacity to implement the strategic purchasing action plan</w:t>
            </w:r>
          </w:p>
        </w:tc>
        <w:tc>
          <w:tcPr>
            <w:tcW w:w="1840" w:type="pct"/>
            <w:vAlign w:val="center"/>
          </w:tcPr>
          <w:p w14:paraId="47E4A354" w14:textId="79754D3F" w:rsidR="00DB378B" w:rsidRPr="00DB378B" w:rsidRDefault="00DB378B" w:rsidP="000C380E">
            <w:pPr>
              <w:pStyle w:val="ListParagraph"/>
              <w:numPr>
                <w:ilvl w:val="0"/>
                <w:numId w:val="3"/>
              </w:numPr>
              <w:rPr>
                <w:rFonts w:ascii="Helvetica" w:eastAsiaTheme="majorEastAsia" w:hAnsi="Helvetica"/>
              </w:rPr>
            </w:pPr>
            <w:r w:rsidRPr="00DB378B">
              <w:rPr>
                <w:rFonts w:ascii="Helvetica" w:eastAsiaTheme="majorEastAsia" w:hAnsi="Helvetica"/>
              </w:rPr>
              <w:t xml:space="preserve">Preparedness for DRG </w:t>
            </w:r>
            <w:r w:rsidR="0056079A">
              <w:rPr>
                <w:rFonts w:ascii="Helvetica" w:eastAsiaTheme="majorEastAsia" w:hAnsi="Helvetica"/>
              </w:rPr>
              <w:t>payment of hospitals</w:t>
            </w:r>
            <w:r w:rsidR="0056079A" w:rsidRPr="00DB378B">
              <w:rPr>
                <w:rFonts w:ascii="Helvetica" w:eastAsiaTheme="majorEastAsia" w:hAnsi="Helvetica"/>
              </w:rPr>
              <w:t xml:space="preserve"> </w:t>
            </w:r>
            <w:r w:rsidRPr="00DB378B">
              <w:rPr>
                <w:rFonts w:ascii="Helvetica" w:eastAsiaTheme="majorEastAsia" w:hAnsi="Helvetica"/>
              </w:rPr>
              <w:t xml:space="preserve">in 2020 </w:t>
            </w:r>
          </w:p>
          <w:p w14:paraId="701E67FA" w14:textId="0FACF73E" w:rsidR="00D7498E" w:rsidRPr="00DB378B" w:rsidRDefault="0056079A" w:rsidP="000C380E">
            <w:pPr>
              <w:pStyle w:val="ListParagraph"/>
              <w:numPr>
                <w:ilvl w:val="0"/>
                <w:numId w:val="3"/>
              </w:numPr>
              <w:rPr>
                <w:rFonts w:ascii="Helvetica" w:eastAsiaTheme="majorEastAsia" w:hAnsi="Helvetica"/>
              </w:rPr>
            </w:pPr>
            <w:r>
              <w:rPr>
                <w:rFonts w:ascii="Helvetica" w:eastAsiaTheme="majorEastAsia" w:hAnsi="Helvetica"/>
              </w:rPr>
              <w:t>I</w:t>
            </w:r>
            <w:r w:rsidR="00DB378B" w:rsidRPr="00DB378B">
              <w:rPr>
                <w:rFonts w:ascii="Helvetica" w:eastAsiaTheme="majorEastAsia" w:hAnsi="Helvetica"/>
              </w:rPr>
              <w:t xml:space="preserve">ncreased capacity </w:t>
            </w:r>
            <w:r>
              <w:rPr>
                <w:rFonts w:ascii="Helvetica" w:eastAsiaTheme="majorEastAsia" w:hAnsi="Helvetica"/>
              </w:rPr>
              <w:t xml:space="preserve">of the SSA </w:t>
            </w:r>
            <w:r w:rsidR="00DB378B" w:rsidRPr="00DB378B">
              <w:rPr>
                <w:rFonts w:ascii="Helvetica" w:eastAsiaTheme="majorEastAsia" w:hAnsi="Helvetica"/>
              </w:rPr>
              <w:t xml:space="preserve">to </w:t>
            </w:r>
            <w:r>
              <w:rPr>
                <w:rFonts w:ascii="Helvetica" w:eastAsiaTheme="majorEastAsia" w:hAnsi="Helvetica"/>
              </w:rPr>
              <w:t>engage in</w:t>
            </w:r>
            <w:r w:rsidRPr="00DB378B">
              <w:rPr>
                <w:rFonts w:ascii="Helvetica" w:eastAsiaTheme="majorEastAsia" w:hAnsi="Helvetica"/>
              </w:rPr>
              <w:t xml:space="preserve"> </w:t>
            </w:r>
            <w:r w:rsidR="00DB378B" w:rsidRPr="00DB378B">
              <w:rPr>
                <w:rFonts w:ascii="Helvetica" w:eastAsiaTheme="majorEastAsia" w:hAnsi="Helvetica"/>
              </w:rPr>
              <w:t>strategic purchasing to ensure efficiency in using public funds</w:t>
            </w:r>
          </w:p>
          <w:p w14:paraId="20740A0F" w14:textId="047EB405" w:rsidR="00DB378B" w:rsidRPr="00DB378B" w:rsidRDefault="00DB378B" w:rsidP="000C380E">
            <w:pPr>
              <w:pStyle w:val="ListParagraph"/>
              <w:numPr>
                <w:ilvl w:val="0"/>
                <w:numId w:val="3"/>
              </w:numPr>
              <w:rPr>
                <w:rFonts w:ascii="Helvetica" w:eastAsiaTheme="majorEastAsia" w:hAnsi="Helvetica"/>
              </w:rPr>
            </w:pPr>
            <w:r w:rsidRPr="00DB378B">
              <w:rPr>
                <w:rFonts w:ascii="Helvetica" w:eastAsiaTheme="majorEastAsia" w:hAnsi="Helvetica"/>
              </w:rPr>
              <w:t xml:space="preserve">Increased quality of </w:t>
            </w:r>
            <w:r w:rsidR="0056079A">
              <w:rPr>
                <w:rFonts w:ascii="Helvetica" w:eastAsiaTheme="majorEastAsia" w:hAnsi="Helvetica"/>
              </w:rPr>
              <w:t xml:space="preserve">the </w:t>
            </w:r>
            <w:r w:rsidRPr="00DB378B">
              <w:rPr>
                <w:rFonts w:ascii="Helvetica" w:eastAsiaTheme="majorEastAsia" w:hAnsi="Helvetica"/>
              </w:rPr>
              <w:t>SSA’s claims data</w:t>
            </w:r>
          </w:p>
        </w:tc>
      </w:tr>
      <w:tr w:rsidR="008A1BB1" w:rsidRPr="00DB378B" w14:paraId="4916E68E" w14:textId="77777777" w:rsidTr="008A1BB1">
        <w:tc>
          <w:tcPr>
            <w:tcW w:w="180" w:type="pct"/>
            <w:vAlign w:val="center"/>
          </w:tcPr>
          <w:p w14:paraId="6F8F6713" w14:textId="02A88CCC" w:rsidR="00D7498E" w:rsidRPr="00DB378B" w:rsidRDefault="00DB378B" w:rsidP="005861F4">
            <w:pPr>
              <w:rPr>
                <w:rFonts w:ascii="Helvetica" w:hAnsi="Helvetica"/>
                <w:b/>
                <w:sz w:val="22"/>
                <w:szCs w:val="22"/>
              </w:rPr>
            </w:pPr>
            <w:r w:rsidRPr="00DB378B">
              <w:rPr>
                <w:rFonts w:ascii="Helvetica" w:hAnsi="Helvetica"/>
                <w:b/>
                <w:sz w:val="22"/>
                <w:szCs w:val="22"/>
              </w:rPr>
              <w:t>3</w:t>
            </w:r>
          </w:p>
        </w:tc>
        <w:tc>
          <w:tcPr>
            <w:tcW w:w="1146" w:type="pct"/>
            <w:vAlign w:val="center"/>
          </w:tcPr>
          <w:p w14:paraId="6B723CE9" w14:textId="77777777" w:rsidR="00D7498E" w:rsidRPr="00DB378B" w:rsidRDefault="00D7498E" w:rsidP="005861F4">
            <w:pPr>
              <w:rPr>
                <w:rFonts w:ascii="Helvetica" w:hAnsi="Helvetica"/>
                <w:sz w:val="22"/>
                <w:szCs w:val="22"/>
              </w:rPr>
            </w:pPr>
            <w:r w:rsidRPr="00DB378B">
              <w:rPr>
                <w:rFonts w:ascii="Helvetica" w:hAnsi="Helvetica"/>
                <w:sz w:val="22"/>
                <w:szCs w:val="22"/>
              </w:rPr>
              <w:t>TA to develop best practice patient pathways for priority health outcomes and develop tools to support their implementation</w:t>
            </w:r>
          </w:p>
        </w:tc>
        <w:tc>
          <w:tcPr>
            <w:tcW w:w="1834" w:type="pct"/>
            <w:vAlign w:val="center"/>
          </w:tcPr>
          <w:p w14:paraId="18979DF9" w14:textId="77777777" w:rsidR="00D7498E" w:rsidRPr="00DB378B" w:rsidRDefault="00D7498E" w:rsidP="005861F4">
            <w:pPr>
              <w:rPr>
                <w:rFonts w:ascii="Helvetica" w:hAnsi="Helvetica"/>
                <w:sz w:val="22"/>
                <w:szCs w:val="22"/>
              </w:rPr>
            </w:pPr>
            <w:r w:rsidRPr="00DB378B">
              <w:rPr>
                <w:rFonts w:ascii="Helvetica" w:hAnsi="Helvetica"/>
                <w:sz w:val="22"/>
                <w:szCs w:val="22"/>
              </w:rPr>
              <w:t>To develop best practice patient pathways for selected priority health outcomes and to propose tools for improving contractual, payment and performance-monitoring arrangements to improve efficiency in service delivery</w:t>
            </w:r>
          </w:p>
        </w:tc>
        <w:tc>
          <w:tcPr>
            <w:tcW w:w="1840" w:type="pct"/>
            <w:vAlign w:val="center"/>
          </w:tcPr>
          <w:p w14:paraId="37F8B858" w14:textId="77777777" w:rsidR="001B681D" w:rsidRPr="001B681D" w:rsidRDefault="00604CE5" w:rsidP="001B681D">
            <w:pPr>
              <w:pStyle w:val="ListParagraph"/>
              <w:numPr>
                <w:ilvl w:val="0"/>
                <w:numId w:val="4"/>
              </w:numPr>
              <w:spacing w:after="0"/>
              <w:rPr>
                <w:rFonts w:ascii="Helvetica" w:hAnsi="Helvetica"/>
              </w:rPr>
            </w:pPr>
            <w:r w:rsidRPr="001B681D">
              <w:rPr>
                <w:rFonts w:ascii="Helvetica" w:hAnsi="Helvetica"/>
              </w:rPr>
              <w:t xml:space="preserve">Best practice patient pathway for diabetes type 2 </w:t>
            </w:r>
            <w:r w:rsidR="001A1919" w:rsidRPr="001B681D">
              <w:rPr>
                <w:rFonts w:ascii="Helvetica" w:hAnsi="Helvetica"/>
              </w:rPr>
              <w:t xml:space="preserve">is developed and </w:t>
            </w:r>
            <w:r w:rsidR="00C02C08" w:rsidRPr="001B681D">
              <w:rPr>
                <w:rFonts w:ascii="Helvetica" w:hAnsi="Helvetica"/>
              </w:rPr>
              <w:t xml:space="preserve">validated </w:t>
            </w:r>
            <w:r w:rsidR="009149E0" w:rsidRPr="001B681D">
              <w:rPr>
                <w:rFonts w:ascii="Helvetica" w:hAnsi="Helvetica"/>
              </w:rPr>
              <w:t>in local context</w:t>
            </w:r>
          </w:p>
          <w:p w14:paraId="4C89DE6C" w14:textId="5BC4CEED" w:rsidR="00D7498E" w:rsidRPr="00DB378B" w:rsidRDefault="00C5715B" w:rsidP="001B681D">
            <w:pPr>
              <w:pStyle w:val="ListParagraph"/>
              <w:numPr>
                <w:ilvl w:val="0"/>
                <w:numId w:val="4"/>
              </w:numPr>
              <w:spacing w:after="0"/>
              <w:rPr>
                <w:rFonts w:ascii="Helvetica" w:hAnsi="Helvetica"/>
              </w:rPr>
            </w:pPr>
            <w:r w:rsidRPr="001B681D">
              <w:rPr>
                <w:rFonts w:ascii="Helvetica" w:hAnsi="Helvetica"/>
                <w:lang w:val="en-GB"/>
              </w:rPr>
              <w:t xml:space="preserve">Increased </w:t>
            </w:r>
            <w:r w:rsidR="001B681D" w:rsidRPr="001B681D">
              <w:rPr>
                <w:rFonts w:ascii="Helvetica" w:hAnsi="Helvetica"/>
                <w:lang w:val="en-GB"/>
              </w:rPr>
              <w:t xml:space="preserve">MOLHSA’s and </w:t>
            </w:r>
            <w:r w:rsidRPr="001B681D">
              <w:rPr>
                <w:rFonts w:ascii="Helvetica" w:hAnsi="Helvetica"/>
                <w:lang w:val="en-GB"/>
              </w:rPr>
              <w:t xml:space="preserve">SSA’s capacity to </w:t>
            </w:r>
            <w:r w:rsidR="001B681D" w:rsidRPr="001B681D">
              <w:rPr>
                <w:rFonts w:ascii="Helvetica" w:hAnsi="Helvetica"/>
                <w:lang w:val="en-GB"/>
              </w:rPr>
              <w:t>use different policy instruments to support best practice patient pathway’s implementation</w:t>
            </w:r>
          </w:p>
        </w:tc>
      </w:tr>
    </w:tbl>
    <w:p w14:paraId="75EBEDEF" w14:textId="07D76932" w:rsidR="00D7498E" w:rsidRDefault="00D7498E" w:rsidP="00EF2846">
      <w:pPr>
        <w:rPr>
          <w:rFonts w:eastAsiaTheme="majorEastAsia"/>
          <w:i/>
        </w:rPr>
      </w:pPr>
    </w:p>
    <w:p w14:paraId="447356EF" w14:textId="77777777" w:rsidR="00D7498E" w:rsidRDefault="00D7498E">
      <w:pPr>
        <w:spacing w:after="200" w:line="276" w:lineRule="auto"/>
        <w:rPr>
          <w:rFonts w:eastAsiaTheme="majorEastAsia"/>
          <w:i/>
        </w:rPr>
        <w:sectPr w:rsidR="00D7498E" w:rsidSect="00D7498E">
          <w:footerReference w:type="default" r:id="rId11"/>
          <w:pgSz w:w="16838" w:h="11906" w:orient="landscape"/>
          <w:pgMar w:top="1440" w:right="1152" w:bottom="1440" w:left="1152" w:header="706" w:footer="144" w:gutter="0"/>
          <w:cols w:space="708"/>
          <w:docGrid w:linePitch="360"/>
        </w:sectPr>
      </w:pPr>
    </w:p>
    <w:p w14:paraId="45A67C32" w14:textId="77777777" w:rsidR="008A5681" w:rsidRPr="008A5681" w:rsidRDefault="008A5681" w:rsidP="009D7272">
      <w:pPr>
        <w:rPr>
          <w:rFonts w:asciiTheme="minorHAnsi" w:hAnsiTheme="minorHAnsi"/>
          <w:b/>
          <w:bCs/>
          <w:sz w:val="28"/>
          <w:szCs w:val="28"/>
        </w:rPr>
      </w:pPr>
    </w:p>
    <w:p w14:paraId="6A4F0BB4" w14:textId="59A3B4F4" w:rsidR="00BF5AE8" w:rsidRPr="008377AE" w:rsidRDefault="00E5238B" w:rsidP="008377AE">
      <w:pPr>
        <w:pStyle w:val="Heading1"/>
        <w:spacing w:before="0"/>
        <w:rPr>
          <w:rFonts w:ascii="Helvetica" w:hAnsi="Helvetica"/>
          <w:b/>
          <w:color w:val="000000" w:themeColor="text1"/>
          <w:sz w:val="28"/>
          <w:szCs w:val="28"/>
        </w:rPr>
      </w:pPr>
      <w:bookmarkStart w:id="2" w:name="_Ref483556087"/>
      <w:r w:rsidRPr="00AD649A">
        <w:rPr>
          <w:rFonts w:ascii="Helvetica" w:hAnsi="Helvetica"/>
          <w:b/>
          <w:color w:val="000000" w:themeColor="text1"/>
          <w:sz w:val="28"/>
          <w:szCs w:val="28"/>
        </w:rPr>
        <w:t xml:space="preserve">Activity </w:t>
      </w:r>
      <w:r w:rsidR="009B7447" w:rsidRPr="00AD649A">
        <w:rPr>
          <w:rFonts w:ascii="Helvetica" w:hAnsi="Helvetica"/>
          <w:b/>
          <w:color w:val="000000" w:themeColor="text1"/>
          <w:sz w:val="28"/>
          <w:szCs w:val="28"/>
        </w:rPr>
        <w:t>1</w:t>
      </w:r>
      <w:r w:rsidR="00565DBC" w:rsidRPr="00AD649A">
        <w:rPr>
          <w:rFonts w:ascii="Helvetica" w:hAnsi="Helvetica"/>
          <w:b/>
          <w:color w:val="000000" w:themeColor="text1"/>
          <w:sz w:val="28"/>
          <w:szCs w:val="28"/>
        </w:rPr>
        <w:t xml:space="preserve">: </w:t>
      </w:r>
      <w:bookmarkEnd w:id="2"/>
      <w:r w:rsidR="0094707D" w:rsidRPr="00AD649A">
        <w:rPr>
          <w:rFonts w:ascii="Helvetica" w:hAnsi="Helvetica"/>
          <w:b/>
          <w:color w:val="000000" w:themeColor="text1"/>
          <w:sz w:val="28"/>
          <w:szCs w:val="28"/>
        </w:rPr>
        <w:t>TA</w:t>
      </w:r>
      <w:r w:rsidR="00E64E03" w:rsidRPr="00AD649A">
        <w:rPr>
          <w:rFonts w:ascii="Helvetica" w:hAnsi="Helvetica"/>
          <w:b/>
          <w:color w:val="000000" w:themeColor="text1"/>
          <w:sz w:val="28"/>
          <w:szCs w:val="28"/>
        </w:rPr>
        <w:t xml:space="preserve"> to </w:t>
      </w:r>
      <w:r w:rsidR="009B7447" w:rsidRPr="00AD649A">
        <w:rPr>
          <w:rFonts w:ascii="Helvetica" w:hAnsi="Helvetica"/>
          <w:b/>
          <w:color w:val="000000" w:themeColor="text1"/>
          <w:sz w:val="28"/>
          <w:szCs w:val="28"/>
        </w:rPr>
        <w:t xml:space="preserve">develop strategy for strategic purchasing and to strengthen </w:t>
      </w:r>
      <w:r w:rsidR="00E64E03" w:rsidRPr="00AD649A">
        <w:rPr>
          <w:rFonts w:ascii="Helvetica" w:hAnsi="Helvetica"/>
          <w:b/>
          <w:color w:val="000000" w:themeColor="text1"/>
          <w:sz w:val="28"/>
          <w:szCs w:val="28"/>
        </w:rPr>
        <w:t xml:space="preserve">SSA’s administrative capacity </w:t>
      </w:r>
      <w:r w:rsidR="009B7447" w:rsidRPr="00AD649A">
        <w:rPr>
          <w:rFonts w:ascii="Helvetica" w:hAnsi="Helvetica"/>
          <w:b/>
          <w:color w:val="000000" w:themeColor="text1"/>
          <w:sz w:val="28"/>
          <w:szCs w:val="28"/>
        </w:rPr>
        <w:t xml:space="preserve">to effectively implement </w:t>
      </w:r>
      <w:r w:rsidR="00AD649A">
        <w:rPr>
          <w:rFonts w:ascii="Helvetica" w:hAnsi="Helvetica"/>
          <w:b/>
          <w:color w:val="000000" w:themeColor="text1"/>
          <w:sz w:val="28"/>
          <w:szCs w:val="28"/>
        </w:rPr>
        <w:t>strategy</w:t>
      </w:r>
    </w:p>
    <w:tbl>
      <w:tblPr>
        <w:tblStyle w:val="TableGrid"/>
        <w:tblW w:w="5000" w:type="pct"/>
        <w:jc w:val="center"/>
        <w:tblLook w:val="04A0" w:firstRow="1" w:lastRow="0" w:firstColumn="1" w:lastColumn="0" w:noHBand="0" w:noVBand="1"/>
      </w:tblPr>
      <w:tblGrid>
        <w:gridCol w:w="1804"/>
        <w:gridCol w:w="9"/>
        <w:gridCol w:w="7429"/>
      </w:tblGrid>
      <w:tr w:rsidR="00920F72" w:rsidRPr="00BC3C20" w14:paraId="759D785E" w14:textId="77777777" w:rsidTr="008377AE">
        <w:trPr>
          <w:trHeight w:val="1074"/>
          <w:jc w:val="center"/>
        </w:trPr>
        <w:tc>
          <w:tcPr>
            <w:tcW w:w="981" w:type="pct"/>
            <w:gridSpan w:val="2"/>
          </w:tcPr>
          <w:p w14:paraId="2CCB7636" w14:textId="228AE593"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Objective</w:t>
            </w:r>
            <w:r w:rsidR="008A52B9" w:rsidRPr="002B16DA">
              <w:rPr>
                <w:rFonts w:ascii="Helvetica" w:eastAsiaTheme="majorEastAsia" w:hAnsi="Helvetica"/>
                <w:b/>
                <w:sz w:val="22"/>
                <w:szCs w:val="22"/>
              </w:rPr>
              <w:t>s</w:t>
            </w:r>
          </w:p>
        </w:tc>
        <w:tc>
          <w:tcPr>
            <w:tcW w:w="4019" w:type="pct"/>
          </w:tcPr>
          <w:p w14:paraId="1482B66F" w14:textId="02D5392E" w:rsidR="00920F72" w:rsidRPr="002B16DA" w:rsidRDefault="00F44ED9" w:rsidP="008377AE">
            <w:pPr>
              <w:rPr>
                <w:rFonts w:ascii="Helvetica" w:eastAsiaTheme="majorEastAsia" w:hAnsi="Helvetica"/>
                <w:sz w:val="22"/>
                <w:szCs w:val="22"/>
                <w:lang w:val="en-GB"/>
              </w:rPr>
            </w:pPr>
            <w:r w:rsidRPr="002B16DA">
              <w:rPr>
                <w:rFonts w:ascii="Helvetica" w:eastAsiaTheme="majorEastAsia" w:hAnsi="Helvetica"/>
                <w:sz w:val="22"/>
                <w:szCs w:val="22"/>
                <w:lang w:val="en-GB"/>
              </w:rPr>
              <w:t xml:space="preserve">To support the development and implementation of </w:t>
            </w:r>
            <w:r w:rsidR="004E43CB" w:rsidRPr="002B16DA">
              <w:rPr>
                <w:rFonts w:ascii="Helvetica" w:eastAsiaTheme="majorEastAsia" w:hAnsi="Helvetica"/>
                <w:sz w:val="22"/>
                <w:szCs w:val="22"/>
                <w:lang w:val="en-GB"/>
              </w:rPr>
              <w:t>str</w:t>
            </w:r>
            <w:r w:rsidR="002B16DA">
              <w:rPr>
                <w:rFonts w:ascii="Helvetica" w:eastAsiaTheme="majorEastAsia" w:hAnsi="Helvetica"/>
                <w:sz w:val="22"/>
                <w:szCs w:val="22"/>
                <w:lang w:val="en-GB"/>
              </w:rPr>
              <w:t xml:space="preserve">ategy for strategic purchasing </w:t>
            </w:r>
            <w:r w:rsidRPr="002B16DA">
              <w:rPr>
                <w:rFonts w:ascii="Helvetica" w:eastAsiaTheme="majorEastAsia" w:hAnsi="Helvetica"/>
                <w:sz w:val="22"/>
                <w:szCs w:val="22"/>
                <w:lang w:val="en-GB"/>
              </w:rPr>
              <w:t>to enhance efficiency in the organisation and delivery of publicly financed health services and to increase SSA’s organisational capacity for strategic purchasing</w:t>
            </w:r>
          </w:p>
        </w:tc>
      </w:tr>
      <w:tr w:rsidR="0056079A" w:rsidRPr="00BC3C20" w14:paraId="1E7D4DBA" w14:textId="77777777" w:rsidTr="008377AE">
        <w:trPr>
          <w:trHeight w:val="339"/>
          <w:jc w:val="center"/>
        </w:trPr>
        <w:tc>
          <w:tcPr>
            <w:tcW w:w="981" w:type="pct"/>
            <w:gridSpan w:val="2"/>
          </w:tcPr>
          <w:p w14:paraId="053129EE" w14:textId="77777777" w:rsidR="0056079A" w:rsidRPr="002B16DA" w:rsidRDefault="0056079A" w:rsidP="008377AE">
            <w:pPr>
              <w:rPr>
                <w:rFonts w:ascii="Helvetica" w:eastAsiaTheme="majorEastAsia" w:hAnsi="Helvetica"/>
                <w:b/>
                <w:sz w:val="22"/>
                <w:szCs w:val="22"/>
              </w:rPr>
            </w:pPr>
            <w:r w:rsidRPr="002B16DA">
              <w:rPr>
                <w:rFonts w:ascii="Helvetica" w:eastAsiaTheme="majorEastAsia" w:hAnsi="Helvetica"/>
                <w:b/>
                <w:sz w:val="22"/>
                <w:szCs w:val="22"/>
              </w:rPr>
              <w:t>Timing</w:t>
            </w:r>
          </w:p>
        </w:tc>
        <w:tc>
          <w:tcPr>
            <w:tcW w:w="4019" w:type="pct"/>
          </w:tcPr>
          <w:p w14:paraId="4A223CA4" w14:textId="77777777" w:rsidR="0056079A" w:rsidRPr="002B16DA" w:rsidRDefault="0056079A" w:rsidP="008377AE">
            <w:pPr>
              <w:rPr>
                <w:rFonts w:ascii="Helvetica" w:eastAsiaTheme="majorEastAsia" w:hAnsi="Helvetica"/>
                <w:sz w:val="22"/>
                <w:szCs w:val="22"/>
              </w:rPr>
            </w:pPr>
            <w:r w:rsidRPr="002B16DA">
              <w:rPr>
                <w:rFonts w:ascii="Helvetica" w:eastAsiaTheme="majorEastAsia" w:hAnsi="Helvetica"/>
                <w:sz w:val="22"/>
                <w:szCs w:val="22"/>
              </w:rPr>
              <w:t xml:space="preserve">January – December 2018 </w:t>
            </w:r>
          </w:p>
        </w:tc>
      </w:tr>
      <w:tr w:rsidR="00920F72" w:rsidRPr="00BC3C20" w14:paraId="7BE1A2D7" w14:textId="77777777" w:rsidTr="008377AE">
        <w:trPr>
          <w:jc w:val="center"/>
        </w:trPr>
        <w:tc>
          <w:tcPr>
            <w:tcW w:w="981" w:type="pct"/>
            <w:gridSpan w:val="2"/>
          </w:tcPr>
          <w:p w14:paraId="351FA942" w14:textId="45960128"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Outcome</w:t>
            </w:r>
            <w:r w:rsidR="008A52B9" w:rsidRPr="002B16DA">
              <w:rPr>
                <w:rFonts w:ascii="Helvetica" w:eastAsiaTheme="majorEastAsia" w:hAnsi="Helvetica"/>
                <w:b/>
                <w:sz w:val="22"/>
                <w:szCs w:val="22"/>
              </w:rPr>
              <w:t>s</w:t>
            </w:r>
          </w:p>
        </w:tc>
        <w:tc>
          <w:tcPr>
            <w:tcW w:w="4019" w:type="pct"/>
          </w:tcPr>
          <w:p w14:paraId="1DE2012E" w14:textId="0D3A5BDC" w:rsidR="007334D5" w:rsidRPr="002B16DA" w:rsidRDefault="004E43CB" w:rsidP="008377AE">
            <w:pPr>
              <w:pStyle w:val="ListParagraph"/>
              <w:numPr>
                <w:ilvl w:val="0"/>
                <w:numId w:val="3"/>
              </w:numPr>
              <w:spacing w:after="0"/>
              <w:rPr>
                <w:rFonts w:ascii="Helvetica" w:hAnsi="Helvetica" w:cs="Times New Roman"/>
              </w:rPr>
            </w:pPr>
            <w:r w:rsidRPr="002B16DA">
              <w:rPr>
                <w:rFonts w:ascii="Helvetica" w:hAnsi="Helvetica" w:cs="Times New Roman"/>
              </w:rPr>
              <w:t>Strategy for strategic purchasing</w:t>
            </w:r>
            <w:r w:rsidR="007334D5" w:rsidRPr="002B16DA">
              <w:rPr>
                <w:rFonts w:ascii="Helvetica" w:hAnsi="Helvetica" w:cs="Times New Roman"/>
              </w:rPr>
              <w:t xml:space="preserve"> that bases on the international evidence on strategic purchasing and takes into account Georgian health system </w:t>
            </w:r>
            <w:r w:rsidR="00FF61E0" w:rsidRPr="002B16DA">
              <w:rPr>
                <w:rFonts w:ascii="Helvetica" w:hAnsi="Helvetica" w:cs="Times New Roman"/>
              </w:rPr>
              <w:t>context</w:t>
            </w:r>
            <w:r w:rsidR="007334D5" w:rsidRPr="002B16DA">
              <w:rPr>
                <w:rFonts w:ascii="Helvetica" w:hAnsi="Helvetica" w:cs="Times New Roman"/>
              </w:rPr>
              <w:t xml:space="preserve">  </w:t>
            </w:r>
          </w:p>
          <w:p w14:paraId="1AAD0D3D" w14:textId="01DB302C" w:rsidR="00DB378B" w:rsidRPr="00784518" w:rsidRDefault="007334D5" w:rsidP="008377AE">
            <w:pPr>
              <w:pStyle w:val="ListParagraph"/>
              <w:numPr>
                <w:ilvl w:val="0"/>
                <w:numId w:val="3"/>
              </w:numPr>
              <w:spacing w:after="0"/>
              <w:rPr>
                <w:rFonts w:ascii="Helvetica" w:hAnsi="Helvetica" w:cs="Times New Roman"/>
              </w:rPr>
            </w:pPr>
            <w:r w:rsidRPr="002B16DA">
              <w:rPr>
                <w:rFonts w:ascii="Helvetica" w:hAnsi="Helvetica" w:cs="Times New Roman"/>
              </w:rPr>
              <w:t xml:space="preserve">Increased </w:t>
            </w:r>
            <w:r w:rsidR="000F683A" w:rsidRPr="002B16DA">
              <w:rPr>
                <w:rFonts w:ascii="Helvetica" w:hAnsi="Helvetica" w:cs="Times New Roman"/>
              </w:rPr>
              <w:t>SSA’</w:t>
            </w:r>
            <w:r w:rsidRPr="002B16DA">
              <w:rPr>
                <w:rFonts w:ascii="Helvetica" w:hAnsi="Helvetica" w:cs="Times New Roman"/>
              </w:rPr>
              <w:t xml:space="preserve">s capacity to effectively implement </w:t>
            </w:r>
            <w:r w:rsidR="004E43CB" w:rsidRPr="002B16DA">
              <w:rPr>
                <w:rFonts w:ascii="Helvetica" w:eastAsiaTheme="majorEastAsia" w:hAnsi="Helvetica"/>
                <w:lang w:val="en-GB"/>
              </w:rPr>
              <w:t>strategy for strategic purchasing</w:t>
            </w:r>
          </w:p>
        </w:tc>
      </w:tr>
      <w:tr w:rsidR="00920F72" w:rsidRPr="00BC3C20" w14:paraId="766067EC" w14:textId="77777777" w:rsidTr="008377AE">
        <w:trPr>
          <w:jc w:val="center"/>
        </w:trPr>
        <w:tc>
          <w:tcPr>
            <w:tcW w:w="981" w:type="pct"/>
            <w:gridSpan w:val="2"/>
          </w:tcPr>
          <w:p w14:paraId="1A310F77" w14:textId="0253FC3C"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Expected outputs</w:t>
            </w:r>
          </w:p>
        </w:tc>
        <w:tc>
          <w:tcPr>
            <w:tcW w:w="4019" w:type="pct"/>
          </w:tcPr>
          <w:p w14:paraId="33F02AD1" w14:textId="4AFCF0C6" w:rsidR="00C9471C" w:rsidRPr="002B16DA" w:rsidRDefault="00C9471C"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Technical report</w:t>
            </w:r>
            <w:r w:rsidR="007334D5" w:rsidRPr="002B16DA">
              <w:rPr>
                <w:rFonts w:ascii="Helvetica" w:eastAsiaTheme="majorEastAsia" w:hAnsi="Helvetica" w:cs="Times New Roman"/>
              </w:rPr>
              <w:t xml:space="preserve"> </w:t>
            </w:r>
            <w:r w:rsidR="009B7765" w:rsidRPr="002B16DA">
              <w:rPr>
                <w:rFonts w:ascii="Helvetica" w:eastAsiaTheme="majorEastAsia" w:hAnsi="Helvetica" w:cs="Times New Roman"/>
              </w:rPr>
              <w:t xml:space="preserve">to </w:t>
            </w:r>
            <w:r w:rsidR="009B7765" w:rsidRPr="002B16DA">
              <w:rPr>
                <w:rFonts w:ascii="Helvetica" w:hAnsi="Helvetica" w:cs="Calibri"/>
              </w:rPr>
              <w:t xml:space="preserve">understand the organizational dimensions of SSA </w:t>
            </w:r>
            <w:r w:rsidR="00AC681C" w:rsidRPr="002B16DA">
              <w:rPr>
                <w:rFonts w:ascii="Helvetica" w:eastAsiaTheme="majorEastAsia" w:hAnsi="Helvetica" w:cs="Times New Roman"/>
              </w:rPr>
              <w:t>(February</w:t>
            </w:r>
            <w:r w:rsidR="009B7765" w:rsidRPr="002B16DA">
              <w:rPr>
                <w:rFonts w:ascii="Helvetica" w:eastAsiaTheme="majorEastAsia" w:hAnsi="Helvetica" w:cs="Times New Roman"/>
              </w:rPr>
              <w:t xml:space="preserve"> 2018</w:t>
            </w:r>
            <w:r w:rsidR="00AC681C" w:rsidRPr="002B16DA">
              <w:rPr>
                <w:rFonts w:ascii="Helvetica" w:eastAsiaTheme="majorEastAsia" w:hAnsi="Helvetica" w:cs="Times New Roman"/>
              </w:rPr>
              <w:t>)</w:t>
            </w:r>
          </w:p>
          <w:p w14:paraId="4ED4071D" w14:textId="1B75CBAA"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hAnsi="Helvetica" w:cs="Calibri"/>
              </w:rPr>
              <w:t>Roadmap for organizational capacity improving (February 2018)</w:t>
            </w:r>
          </w:p>
          <w:p w14:paraId="038CFDD4" w14:textId="0D0D0D73" w:rsidR="00C21181" w:rsidRPr="002B16DA" w:rsidRDefault="00C21181" w:rsidP="008377AE">
            <w:pPr>
              <w:pStyle w:val="ListParagraph"/>
              <w:numPr>
                <w:ilvl w:val="0"/>
                <w:numId w:val="9"/>
              </w:numPr>
              <w:spacing w:after="0"/>
              <w:rPr>
                <w:rFonts w:ascii="Helvetica" w:eastAsiaTheme="majorEastAsia" w:hAnsi="Helvetica" w:cs="Times New Roman"/>
              </w:rPr>
            </w:pPr>
            <w:r w:rsidRPr="002B16DA">
              <w:rPr>
                <w:rFonts w:ascii="Helvetica" w:hAnsi="Helvetica"/>
              </w:rPr>
              <w:t xml:space="preserve">Framework for the strategy </w:t>
            </w:r>
            <w:r w:rsidRPr="002B16DA">
              <w:rPr>
                <w:rFonts w:ascii="Helvetica" w:eastAsiaTheme="majorEastAsia" w:hAnsi="Helvetica" w:cs="Times New Roman"/>
              </w:rPr>
              <w:t>for strategic purchasing</w:t>
            </w:r>
            <w:r w:rsidR="003948DF">
              <w:rPr>
                <w:rFonts w:ascii="Helvetica" w:eastAsiaTheme="majorEastAsia" w:hAnsi="Helvetica" w:cs="Times New Roman"/>
              </w:rPr>
              <w:t xml:space="preserve"> (strategy)</w:t>
            </w:r>
            <w:r w:rsidRPr="002B16DA">
              <w:rPr>
                <w:rFonts w:ascii="Helvetica" w:eastAsiaTheme="majorEastAsia" w:hAnsi="Helvetica" w:cs="Times New Roman"/>
              </w:rPr>
              <w:t xml:space="preserve"> </w:t>
            </w:r>
            <w:r w:rsidRPr="002B16DA">
              <w:rPr>
                <w:rFonts w:ascii="Helvetica" w:hAnsi="Helvetica"/>
              </w:rPr>
              <w:t>based on the concept of strategic purchasing (March 2018)</w:t>
            </w:r>
          </w:p>
          <w:p w14:paraId="3EFD15EC" w14:textId="67805BE2" w:rsidR="00C9471C" w:rsidRPr="002B16DA" w:rsidRDefault="00784518" w:rsidP="008377AE">
            <w:pPr>
              <w:pStyle w:val="ListParagraph"/>
              <w:numPr>
                <w:ilvl w:val="0"/>
                <w:numId w:val="9"/>
              </w:numPr>
              <w:spacing w:after="0"/>
              <w:rPr>
                <w:rFonts w:ascii="Helvetica" w:eastAsiaTheme="majorEastAsia" w:hAnsi="Helvetica" w:cs="Times New Roman"/>
              </w:rPr>
            </w:pPr>
            <w:r>
              <w:rPr>
                <w:rFonts w:ascii="Helvetica" w:eastAsiaTheme="majorEastAsia" w:hAnsi="Helvetica" w:cs="Times New Roman"/>
              </w:rPr>
              <w:t>S</w:t>
            </w:r>
            <w:r w:rsidR="009B7765" w:rsidRPr="002B16DA">
              <w:rPr>
                <w:rFonts w:ascii="Helvetica" w:eastAsiaTheme="majorEastAsia" w:hAnsi="Helvetica" w:cs="Times New Roman"/>
              </w:rPr>
              <w:t>trategy for strategic purchasing (June 2018</w:t>
            </w:r>
            <w:r w:rsidR="00504DFE" w:rsidRPr="002B16DA">
              <w:rPr>
                <w:rFonts w:ascii="Helvetica" w:eastAsiaTheme="majorEastAsia" w:hAnsi="Helvetica" w:cs="Times New Roman"/>
              </w:rPr>
              <w:t>)</w:t>
            </w:r>
          </w:p>
          <w:p w14:paraId="4B4E906A" w14:textId="4251D0E8"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High-level policy dialogue to consult and receive input for strategy finalization (</w:t>
            </w:r>
            <w:r w:rsidR="00784518">
              <w:rPr>
                <w:rFonts w:ascii="Helvetica" w:eastAsiaTheme="majorEastAsia" w:hAnsi="Helvetica" w:cs="Times New Roman"/>
              </w:rPr>
              <w:t>October/November</w:t>
            </w:r>
            <w:r w:rsidRPr="002B16DA">
              <w:rPr>
                <w:rFonts w:ascii="Helvetica" w:eastAsiaTheme="majorEastAsia" w:hAnsi="Helvetica" w:cs="Times New Roman"/>
              </w:rPr>
              <w:t xml:space="preserve"> 2018)</w:t>
            </w:r>
          </w:p>
          <w:p w14:paraId="65EFEAE3" w14:textId="46D5B744"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 xml:space="preserve">Recommendations for SSA’s structural changes </w:t>
            </w:r>
            <w:r w:rsidR="003948DF">
              <w:rPr>
                <w:rFonts w:ascii="Helvetica" w:eastAsiaTheme="majorEastAsia" w:hAnsi="Helvetica" w:cs="Times New Roman"/>
              </w:rPr>
              <w:t xml:space="preserve">to support strategy implementation </w:t>
            </w:r>
            <w:r w:rsidRPr="002B16DA">
              <w:rPr>
                <w:rFonts w:ascii="Helvetica" w:eastAsiaTheme="majorEastAsia" w:hAnsi="Helvetica" w:cs="Times New Roman"/>
              </w:rPr>
              <w:t>(October 2018)</w:t>
            </w:r>
          </w:p>
          <w:p w14:paraId="77B5078C" w14:textId="21F1A8D7"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hAnsi="Helvetica" w:cs="Times New Roman"/>
              </w:rPr>
              <w:t xml:space="preserve">SSA’s </w:t>
            </w:r>
            <w:r w:rsidR="00C21181" w:rsidRPr="002B16DA">
              <w:rPr>
                <w:rFonts w:ascii="Helvetica" w:hAnsi="Helvetica" w:cs="Times New Roman"/>
              </w:rPr>
              <w:t>human resources</w:t>
            </w:r>
            <w:r w:rsidRPr="002B16DA">
              <w:rPr>
                <w:rFonts w:ascii="Helvetica" w:hAnsi="Helvetica" w:cs="Times New Roman"/>
              </w:rPr>
              <w:t xml:space="preserve"> competency and training needs </w:t>
            </w:r>
            <w:r w:rsidR="003948DF">
              <w:rPr>
                <w:rFonts w:ascii="Helvetica" w:hAnsi="Helvetica" w:cs="Times New Roman"/>
              </w:rPr>
              <w:t xml:space="preserve">related to strategy implementation </w:t>
            </w:r>
            <w:r w:rsidRPr="002B16DA">
              <w:rPr>
                <w:rFonts w:ascii="Helvetica" w:hAnsi="Helvetica" w:cs="Times New Roman"/>
              </w:rPr>
              <w:t>identified (Oct</w:t>
            </w:r>
            <w:r w:rsidR="00C21181" w:rsidRPr="002B16DA">
              <w:rPr>
                <w:rFonts w:ascii="Helvetica" w:hAnsi="Helvetica" w:cs="Times New Roman"/>
              </w:rPr>
              <w:t>ober 2018</w:t>
            </w:r>
            <w:r w:rsidRPr="002B16DA">
              <w:rPr>
                <w:rFonts w:ascii="Helvetica" w:hAnsi="Helvetica" w:cs="Times New Roman"/>
              </w:rPr>
              <w:t>)</w:t>
            </w:r>
          </w:p>
          <w:p w14:paraId="183B2A52" w14:textId="02347A13" w:rsidR="005C205A" w:rsidRPr="002B16DA" w:rsidRDefault="009106FE"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Planning</w:t>
            </w:r>
            <w:r w:rsidR="005C205A" w:rsidRPr="002B16DA">
              <w:rPr>
                <w:rFonts w:ascii="Helvetica" w:eastAsiaTheme="majorEastAsia" w:hAnsi="Helvetica" w:cs="Times New Roman"/>
              </w:rPr>
              <w:t xml:space="preserve"> and monitoring framework for </w:t>
            </w:r>
            <w:r w:rsidR="00C21181" w:rsidRPr="002B16DA">
              <w:rPr>
                <w:rFonts w:ascii="Helvetica" w:eastAsiaTheme="majorEastAsia" w:hAnsi="Helvetica" w:cs="Times New Roman"/>
              </w:rPr>
              <w:t xml:space="preserve">strategy </w:t>
            </w:r>
            <w:r w:rsidR="005C205A" w:rsidRPr="002B16DA">
              <w:rPr>
                <w:rFonts w:ascii="Helvetica" w:eastAsiaTheme="majorEastAsia" w:hAnsi="Helvetica" w:cs="Times New Roman"/>
              </w:rPr>
              <w:t>implementation</w:t>
            </w:r>
            <w:r w:rsidR="009B7765" w:rsidRPr="002B16DA">
              <w:rPr>
                <w:rFonts w:ascii="Helvetica" w:eastAsiaTheme="majorEastAsia" w:hAnsi="Helvetica" w:cs="Times New Roman"/>
              </w:rPr>
              <w:t xml:space="preserve"> (December 2018)</w:t>
            </w:r>
          </w:p>
          <w:p w14:paraId="37F4452A" w14:textId="77777777" w:rsidR="00C21181" w:rsidRPr="002B16DA" w:rsidRDefault="00CF2E18"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C</w:t>
            </w:r>
            <w:r w:rsidR="00920F72" w:rsidRPr="002B16DA">
              <w:rPr>
                <w:rFonts w:ascii="Helvetica" w:eastAsiaTheme="majorEastAsia" w:hAnsi="Helvetica" w:cs="Times New Roman"/>
              </w:rPr>
              <w:t>apacity building</w:t>
            </w:r>
            <w:r w:rsidR="009106FE" w:rsidRPr="002B16DA">
              <w:rPr>
                <w:rFonts w:ascii="Helvetica" w:eastAsiaTheme="majorEastAsia" w:hAnsi="Helvetica" w:cs="Times New Roman"/>
              </w:rPr>
              <w:t xml:space="preserve"> </w:t>
            </w:r>
            <w:r w:rsidR="009B7765" w:rsidRPr="002B16DA">
              <w:rPr>
                <w:rFonts w:ascii="Helvetica" w:eastAsiaTheme="majorEastAsia" w:hAnsi="Helvetica" w:cs="Times New Roman"/>
              </w:rPr>
              <w:t>to support strategy development and its implementation (</w:t>
            </w:r>
            <w:r w:rsidR="00C21181" w:rsidRPr="002B16DA">
              <w:rPr>
                <w:rFonts w:ascii="Helvetica" w:eastAsiaTheme="majorEastAsia" w:hAnsi="Helvetica" w:cs="Times New Roman"/>
              </w:rPr>
              <w:t>December 2018</w:t>
            </w:r>
            <w:r w:rsidR="009B7765" w:rsidRPr="002B16DA">
              <w:rPr>
                <w:rFonts w:ascii="Helvetica" w:eastAsiaTheme="majorEastAsia" w:hAnsi="Helvetica" w:cs="Times New Roman"/>
              </w:rPr>
              <w:t>)</w:t>
            </w:r>
            <w:r w:rsidR="00C21181" w:rsidRPr="002B16DA">
              <w:rPr>
                <w:rFonts w:ascii="Helvetica" w:hAnsi="Helvetica"/>
              </w:rPr>
              <w:t xml:space="preserve"> </w:t>
            </w:r>
          </w:p>
          <w:p w14:paraId="672AF75C" w14:textId="707025D3" w:rsidR="006C1BF9" w:rsidRPr="002B16DA" w:rsidRDefault="00C21181" w:rsidP="008377AE">
            <w:pPr>
              <w:pStyle w:val="ListParagraph"/>
              <w:numPr>
                <w:ilvl w:val="0"/>
                <w:numId w:val="9"/>
              </w:numPr>
              <w:spacing w:after="0"/>
            </w:pPr>
            <w:r w:rsidRPr="002B16DA">
              <w:rPr>
                <w:rFonts w:ascii="Helvetica" w:hAnsi="Helvetica"/>
              </w:rPr>
              <w:t>Assessment for the development needs of essential IT solutions to better support the strategic purchasing function (December 2018).</w:t>
            </w:r>
          </w:p>
        </w:tc>
      </w:tr>
      <w:tr w:rsidR="00920F72" w:rsidRPr="00BC3C20" w14:paraId="74096807" w14:textId="77777777" w:rsidTr="008377AE">
        <w:trPr>
          <w:jc w:val="center"/>
        </w:trPr>
        <w:tc>
          <w:tcPr>
            <w:tcW w:w="981" w:type="pct"/>
            <w:gridSpan w:val="2"/>
          </w:tcPr>
          <w:p w14:paraId="022408C3" w14:textId="56606DC4"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Scope</w:t>
            </w:r>
          </w:p>
        </w:tc>
        <w:tc>
          <w:tcPr>
            <w:tcW w:w="4019" w:type="pct"/>
          </w:tcPr>
          <w:p w14:paraId="7E4DD47E" w14:textId="1D8F678B" w:rsidR="003948DF" w:rsidRPr="002B16DA" w:rsidRDefault="00920F72" w:rsidP="008377AE">
            <w:pPr>
              <w:rPr>
                <w:rFonts w:ascii="Helvetica" w:eastAsiaTheme="majorEastAsia" w:hAnsi="Helvetica"/>
                <w:sz w:val="22"/>
                <w:szCs w:val="22"/>
              </w:rPr>
            </w:pPr>
            <w:r w:rsidRPr="002B16DA">
              <w:rPr>
                <w:rFonts w:ascii="Helvetica" w:eastAsiaTheme="majorEastAsia" w:hAnsi="Helvetica"/>
                <w:sz w:val="22"/>
                <w:szCs w:val="22"/>
              </w:rPr>
              <w:t xml:space="preserve">International TA will focus on </w:t>
            </w:r>
            <w:r w:rsidR="00CF2E18" w:rsidRPr="002B16DA">
              <w:rPr>
                <w:rFonts w:ascii="Helvetica" w:eastAsiaTheme="majorEastAsia" w:hAnsi="Helvetica"/>
                <w:sz w:val="22"/>
                <w:szCs w:val="22"/>
              </w:rPr>
              <w:t xml:space="preserve">the </w:t>
            </w:r>
            <w:r w:rsidRPr="002B16DA">
              <w:rPr>
                <w:rFonts w:ascii="Helvetica" w:eastAsiaTheme="majorEastAsia" w:hAnsi="Helvetica"/>
                <w:sz w:val="22"/>
                <w:szCs w:val="22"/>
              </w:rPr>
              <w:t>following areas:</w:t>
            </w:r>
          </w:p>
          <w:p w14:paraId="583A7190" w14:textId="104A83DB" w:rsidR="00C47009" w:rsidRPr="00C47009" w:rsidRDefault="00C47009" w:rsidP="008377AE">
            <w:pPr>
              <w:pStyle w:val="ListParagraph"/>
              <w:numPr>
                <w:ilvl w:val="0"/>
                <w:numId w:val="14"/>
              </w:numPr>
              <w:spacing w:after="0"/>
              <w:rPr>
                <w:rFonts w:ascii="Helvetica" w:eastAsiaTheme="majorEastAsia" w:hAnsi="Helvetica" w:cs="Times New Roman"/>
              </w:rPr>
            </w:pPr>
            <w:r>
              <w:rPr>
                <w:rFonts w:ascii="Helvetica" w:eastAsiaTheme="majorEastAsia" w:hAnsi="Helvetica" w:cs="Times New Roman"/>
              </w:rPr>
              <w:t>Finalizing the t</w:t>
            </w:r>
            <w:r w:rsidRPr="002B16DA">
              <w:rPr>
                <w:rFonts w:ascii="Helvetica" w:eastAsiaTheme="majorEastAsia" w:hAnsi="Helvetica" w:cs="Times New Roman"/>
              </w:rPr>
              <w:t xml:space="preserve">echnical report to </w:t>
            </w:r>
            <w:r w:rsidRPr="002B16DA">
              <w:rPr>
                <w:rFonts w:ascii="Helvetica" w:hAnsi="Helvetica" w:cs="Calibri"/>
              </w:rPr>
              <w:t xml:space="preserve">understand the organizational dimensions of SSA </w:t>
            </w:r>
            <w:r>
              <w:rPr>
                <w:rFonts w:ascii="Helvetica" w:eastAsiaTheme="majorEastAsia" w:hAnsi="Helvetica" w:cs="Times New Roman"/>
              </w:rPr>
              <w:t xml:space="preserve">and </w:t>
            </w:r>
            <w:r>
              <w:rPr>
                <w:rFonts w:ascii="Helvetica" w:hAnsi="Helvetica" w:cs="Calibri"/>
              </w:rPr>
              <w:t>r</w:t>
            </w:r>
            <w:r w:rsidRPr="00C47009">
              <w:rPr>
                <w:rFonts w:ascii="Helvetica" w:hAnsi="Helvetica" w:cs="Calibri"/>
              </w:rPr>
              <w:t>oadmap for organizational capacity improving (February 2018)</w:t>
            </w:r>
          </w:p>
          <w:p w14:paraId="2A611C33" w14:textId="444A02E4" w:rsidR="00AC5ED2"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Defining the concept of strategic purchasing and developing strategic purchasing strategy that guides SSA’s organizational development – June 2018 (initial scoping in February</w:t>
            </w:r>
            <w:r w:rsidR="00C47009">
              <w:rPr>
                <w:rFonts w:ascii="Helvetica" w:hAnsi="Helvetica" w:cs="Times New Roman"/>
              </w:rPr>
              <w:t>-March</w:t>
            </w:r>
            <w:r w:rsidR="00CE44E4">
              <w:rPr>
                <w:rFonts w:ascii="Helvetica" w:hAnsi="Helvetica" w:cs="Times New Roman"/>
              </w:rPr>
              <w:t xml:space="preserve"> 2018)</w:t>
            </w:r>
          </w:p>
          <w:p w14:paraId="49E42232" w14:textId="63A29F10" w:rsidR="005B31F0"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Developing appropriate systems and organizational tools for strategic purchasing</w:t>
            </w:r>
            <w:r w:rsidR="00C47009">
              <w:rPr>
                <w:rFonts w:ascii="Helvetica" w:hAnsi="Helvetica" w:cs="Times New Roman"/>
              </w:rPr>
              <w:t xml:space="preserve"> </w:t>
            </w:r>
            <w:r w:rsidR="005B31F0" w:rsidRPr="002B16DA">
              <w:rPr>
                <w:rFonts w:ascii="Helvetica" w:hAnsi="Helvetica" w:cs="Times New Roman"/>
              </w:rPr>
              <w:t>(</w:t>
            </w:r>
            <w:r w:rsidRPr="002B16DA">
              <w:rPr>
                <w:rFonts w:ascii="Helvetica" w:hAnsi="Helvetica" w:cs="Times New Roman"/>
              </w:rPr>
              <w:t>October 2018</w:t>
            </w:r>
            <w:r w:rsidR="005B31F0" w:rsidRPr="002B16DA">
              <w:rPr>
                <w:rFonts w:ascii="Helvetica" w:hAnsi="Helvetica" w:cs="Times New Roman"/>
              </w:rPr>
              <w:t>)</w:t>
            </w:r>
          </w:p>
          <w:p w14:paraId="22608E75" w14:textId="4ACADA15" w:rsidR="005B31F0"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Describing the systems and core processes (</w:t>
            </w:r>
            <w:r w:rsidR="00C21181" w:rsidRPr="002B16DA">
              <w:rPr>
                <w:rFonts w:ascii="Helvetica" w:hAnsi="Helvetica" w:cs="Times New Roman"/>
              </w:rPr>
              <w:t>e.g.</w:t>
            </w:r>
            <w:r w:rsidRPr="002B16DA">
              <w:rPr>
                <w:rFonts w:ascii="Helvetica" w:hAnsi="Helvetica" w:cs="Times New Roman"/>
              </w:rPr>
              <w:t xml:space="preserve"> contracting and monitoring of contracts, claims handling)</w:t>
            </w:r>
          </w:p>
          <w:p w14:paraId="1F31025C" w14:textId="77777777" w:rsidR="005B31F0"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Describing other essential support processes</w:t>
            </w:r>
          </w:p>
          <w:p w14:paraId="0B75A655" w14:textId="36345399" w:rsidR="00AC5ED2"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Developing necessary tools and templates to handle core and support processes</w:t>
            </w:r>
          </w:p>
          <w:p w14:paraId="3B7AD1FD" w14:textId="0D6D3565" w:rsidR="00AC5ED2" w:rsidRPr="002B16DA" w:rsidRDefault="00C47009" w:rsidP="008377AE">
            <w:pPr>
              <w:pStyle w:val="ListParagraph"/>
              <w:numPr>
                <w:ilvl w:val="0"/>
                <w:numId w:val="14"/>
              </w:numPr>
              <w:spacing w:after="0"/>
              <w:rPr>
                <w:rFonts w:ascii="Helvetica" w:hAnsi="Helvetica" w:cs="Times New Roman"/>
              </w:rPr>
            </w:pPr>
            <w:r>
              <w:rPr>
                <w:rFonts w:ascii="Helvetica" w:hAnsi="Helvetica" w:cs="Times New Roman"/>
              </w:rPr>
              <w:t>Developing recommendations for redesigning</w:t>
            </w:r>
            <w:r w:rsidR="00AC5ED2" w:rsidRPr="002B16DA">
              <w:rPr>
                <w:rFonts w:ascii="Helvetica" w:hAnsi="Helvetica" w:cs="Times New Roman"/>
              </w:rPr>
              <w:t xml:space="preserve"> the</w:t>
            </w:r>
            <w:r>
              <w:rPr>
                <w:rFonts w:ascii="Helvetica" w:hAnsi="Helvetica" w:cs="Times New Roman"/>
              </w:rPr>
              <w:t xml:space="preserve"> SSA’s</w:t>
            </w:r>
            <w:r w:rsidR="00AC5ED2" w:rsidRPr="002B16DA">
              <w:rPr>
                <w:rFonts w:ascii="Helvetica" w:hAnsi="Helvetica" w:cs="Times New Roman"/>
              </w:rPr>
              <w:t xml:space="preserve"> </w:t>
            </w:r>
            <w:r w:rsidR="00D06539">
              <w:rPr>
                <w:rFonts w:ascii="Helvetica" w:hAnsi="Helvetica" w:cs="Times New Roman"/>
              </w:rPr>
              <w:t xml:space="preserve">organizational </w:t>
            </w:r>
            <w:r w:rsidR="00AC5ED2" w:rsidRPr="002B16DA">
              <w:rPr>
                <w:rFonts w:ascii="Helvetica" w:hAnsi="Helvetica" w:cs="Times New Roman"/>
              </w:rPr>
              <w:t xml:space="preserve">structure </w:t>
            </w:r>
            <w:r w:rsidR="00D06539">
              <w:rPr>
                <w:rFonts w:ascii="Helvetica" w:hAnsi="Helvetica" w:cs="Times New Roman"/>
              </w:rPr>
              <w:t>to support</w:t>
            </w:r>
            <w:r>
              <w:rPr>
                <w:rFonts w:ascii="Helvetica" w:hAnsi="Helvetica" w:cs="Times New Roman"/>
              </w:rPr>
              <w:t xml:space="preserve"> </w:t>
            </w:r>
            <w:r w:rsidR="00AC5ED2" w:rsidRPr="002B16DA">
              <w:rPr>
                <w:rFonts w:ascii="Helvetica" w:hAnsi="Helvetica" w:cs="Times New Roman"/>
              </w:rPr>
              <w:t>strategy</w:t>
            </w:r>
            <w:r w:rsidR="005B31F0" w:rsidRPr="002B16DA">
              <w:rPr>
                <w:rFonts w:ascii="Helvetica" w:hAnsi="Helvetica" w:cs="Times New Roman"/>
              </w:rPr>
              <w:t xml:space="preserve"> </w:t>
            </w:r>
            <w:r w:rsidR="00D06539">
              <w:rPr>
                <w:rFonts w:ascii="Helvetica" w:hAnsi="Helvetica" w:cs="Times New Roman"/>
              </w:rPr>
              <w:t>implementation</w:t>
            </w:r>
            <w:r w:rsidR="005B31F0" w:rsidRPr="002B16DA">
              <w:rPr>
                <w:rFonts w:ascii="Helvetica" w:hAnsi="Helvetica" w:cs="Times New Roman"/>
              </w:rPr>
              <w:t>(</w:t>
            </w:r>
            <w:r w:rsidR="00AC5ED2" w:rsidRPr="002B16DA">
              <w:rPr>
                <w:rFonts w:ascii="Helvetica" w:hAnsi="Helvetica" w:cs="Times New Roman"/>
              </w:rPr>
              <w:t>October 2018</w:t>
            </w:r>
            <w:r w:rsidR="005B31F0" w:rsidRPr="002B16DA">
              <w:rPr>
                <w:rFonts w:ascii="Helvetica" w:hAnsi="Helvetica" w:cs="Times New Roman"/>
              </w:rPr>
              <w:t>)</w:t>
            </w:r>
          </w:p>
          <w:p w14:paraId="4EBC2360" w14:textId="2C0C92B3" w:rsidR="005B31F0" w:rsidRPr="002B16DA" w:rsidRDefault="00C47009" w:rsidP="008377AE">
            <w:pPr>
              <w:pStyle w:val="ListParagraph"/>
              <w:numPr>
                <w:ilvl w:val="0"/>
                <w:numId w:val="14"/>
              </w:numPr>
              <w:spacing w:after="0"/>
              <w:rPr>
                <w:rFonts w:ascii="Helvetica" w:hAnsi="Helvetica" w:cs="Times New Roman"/>
              </w:rPr>
            </w:pPr>
            <w:r>
              <w:rPr>
                <w:rFonts w:ascii="Helvetica" w:hAnsi="Helvetica" w:cs="Times New Roman"/>
              </w:rPr>
              <w:t>A</w:t>
            </w:r>
            <w:r w:rsidRPr="002B16DA">
              <w:rPr>
                <w:rFonts w:ascii="Helvetica" w:hAnsi="Helvetica" w:cs="Times New Roman"/>
              </w:rPr>
              <w:t xml:space="preserve">ssessing </w:t>
            </w:r>
            <w:r>
              <w:rPr>
                <w:rFonts w:ascii="Helvetica" w:hAnsi="Helvetica" w:cs="Times New Roman"/>
              </w:rPr>
              <w:t>human resources</w:t>
            </w:r>
            <w:r w:rsidRPr="002B16DA">
              <w:rPr>
                <w:rFonts w:ascii="Helvetica" w:hAnsi="Helvetica" w:cs="Times New Roman"/>
              </w:rPr>
              <w:t xml:space="preserve"> needs </w:t>
            </w:r>
            <w:r>
              <w:rPr>
                <w:rFonts w:ascii="Helvetica" w:hAnsi="Helvetica" w:cs="Times New Roman"/>
              </w:rPr>
              <w:t>to i</w:t>
            </w:r>
            <w:r w:rsidR="00AC5ED2" w:rsidRPr="002B16DA">
              <w:rPr>
                <w:rFonts w:ascii="Helvetica" w:hAnsi="Helvetica" w:cs="Times New Roman"/>
              </w:rPr>
              <w:t>dentify essential skills and competencies needed</w:t>
            </w:r>
            <w:r w:rsidR="005B31F0" w:rsidRPr="002B16DA">
              <w:rPr>
                <w:rFonts w:ascii="Helvetica" w:hAnsi="Helvetica" w:cs="Times New Roman"/>
              </w:rPr>
              <w:t xml:space="preserve"> (</w:t>
            </w:r>
            <w:r w:rsidR="00AC5ED2" w:rsidRPr="002B16DA">
              <w:rPr>
                <w:rFonts w:ascii="Helvetica" w:hAnsi="Helvetica" w:cs="Times New Roman"/>
              </w:rPr>
              <w:t>October 2018</w:t>
            </w:r>
            <w:r w:rsidR="005B31F0" w:rsidRPr="002B16DA">
              <w:rPr>
                <w:rFonts w:ascii="Helvetica" w:hAnsi="Helvetica" w:cs="Times New Roman"/>
              </w:rPr>
              <w:t>)</w:t>
            </w:r>
          </w:p>
          <w:p w14:paraId="6D652093" w14:textId="3DC98DF1" w:rsidR="00AC5ED2"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 xml:space="preserve">Assessing the development needs of essential IT solutions to better support the strategic purchasing function </w:t>
            </w:r>
            <w:r w:rsidR="005B31F0" w:rsidRPr="002B16DA">
              <w:rPr>
                <w:rFonts w:ascii="Helvetica" w:hAnsi="Helvetica" w:cs="Times New Roman"/>
              </w:rPr>
              <w:t>(</w:t>
            </w:r>
            <w:r w:rsidRPr="002B16DA">
              <w:rPr>
                <w:rFonts w:ascii="Helvetica" w:hAnsi="Helvetica" w:cs="Times New Roman"/>
              </w:rPr>
              <w:t>October 2018</w:t>
            </w:r>
            <w:r w:rsidR="005B31F0" w:rsidRPr="002B16DA">
              <w:rPr>
                <w:rFonts w:ascii="Helvetica" w:hAnsi="Helvetica" w:cs="Times New Roman"/>
              </w:rPr>
              <w:t>)</w:t>
            </w:r>
          </w:p>
          <w:p w14:paraId="0C1787B6" w14:textId="77777777" w:rsidR="00784518" w:rsidRPr="00CE44E4"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 xml:space="preserve">Designing planning and reporting system </w:t>
            </w:r>
            <w:r w:rsidR="005B31F0" w:rsidRPr="002B16DA">
              <w:rPr>
                <w:rFonts w:ascii="Helvetica" w:hAnsi="Helvetica" w:cs="Times New Roman"/>
              </w:rPr>
              <w:t xml:space="preserve">(including management indicators) </w:t>
            </w:r>
            <w:r w:rsidRPr="002B16DA">
              <w:rPr>
                <w:rFonts w:ascii="Helvetica" w:hAnsi="Helvetica" w:cs="Times New Roman"/>
              </w:rPr>
              <w:t xml:space="preserve">to support execution of strategic initiatives and provide </w:t>
            </w:r>
            <w:r w:rsidRPr="002B16DA">
              <w:rPr>
                <w:rFonts w:ascii="Helvetica" w:hAnsi="Helvetica" w:cs="Times New Roman"/>
              </w:rPr>
              <w:lastRenderedPageBreak/>
              <w:t>transparent feedbac</w:t>
            </w:r>
            <w:r w:rsidR="00C47009">
              <w:rPr>
                <w:rFonts w:ascii="Helvetica" w:hAnsi="Helvetica" w:cs="Times New Roman"/>
              </w:rPr>
              <w:t xml:space="preserve">k on progress and achievements </w:t>
            </w:r>
            <w:r w:rsidR="005B31F0" w:rsidRPr="002B16DA">
              <w:rPr>
                <w:rFonts w:ascii="Helvetica" w:hAnsi="Helvetica" w:cs="Times New Roman"/>
              </w:rPr>
              <w:t>(December 2018)</w:t>
            </w:r>
            <w:r w:rsidR="00784518" w:rsidRPr="00784518">
              <w:rPr>
                <w:rFonts w:ascii="Helvetica" w:hAnsi="Helvetica"/>
              </w:rPr>
              <w:t xml:space="preserve"> </w:t>
            </w:r>
          </w:p>
          <w:p w14:paraId="0664A252" w14:textId="77777777" w:rsidR="00CE44E4" w:rsidRDefault="00CE44E4" w:rsidP="008377AE">
            <w:pPr>
              <w:rPr>
                <w:rFonts w:ascii="Helvetica" w:hAnsi="Helvetica"/>
              </w:rPr>
            </w:pPr>
          </w:p>
          <w:p w14:paraId="3B70DE35" w14:textId="5DB3D757" w:rsidR="00CE44E4" w:rsidRPr="00CE44E4" w:rsidRDefault="00CE44E4" w:rsidP="008377AE">
            <w:pPr>
              <w:rPr>
                <w:rFonts w:ascii="Helvetica" w:hAnsi="Helvetica"/>
              </w:rPr>
            </w:pPr>
            <w:r>
              <w:rPr>
                <w:rFonts w:ascii="Helvetica" w:eastAsiaTheme="majorEastAsia" w:hAnsi="Helvetica"/>
                <w:sz w:val="22"/>
                <w:szCs w:val="22"/>
              </w:rPr>
              <w:t>Due dates and content may change during the year depending on the progress made and identified TA needs.</w:t>
            </w:r>
          </w:p>
        </w:tc>
      </w:tr>
      <w:tr w:rsidR="00390521" w:rsidRPr="00AD649A" w14:paraId="48234B1D" w14:textId="77777777" w:rsidTr="008377AE">
        <w:trPr>
          <w:jc w:val="center"/>
        </w:trPr>
        <w:tc>
          <w:tcPr>
            <w:tcW w:w="976" w:type="pct"/>
          </w:tcPr>
          <w:p w14:paraId="38761304" w14:textId="77777777" w:rsidR="00390521" w:rsidRPr="00AD649A" w:rsidRDefault="00390521" w:rsidP="008377AE">
            <w:pPr>
              <w:rPr>
                <w:rFonts w:ascii="Helvetica" w:hAnsi="Helvetica"/>
                <w:sz w:val="22"/>
                <w:szCs w:val="22"/>
              </w:rPr>
            </w:pPr>
            <w:r w:rsidRPr="00AD649A">
              <w:rPr>
                <w:rFonts w:ascii="Helvetica" w:eastAsiaTheme="majorEastAsia" w:hAnsi="Helvetica"/>
                <w:b/>
                <w:sz w:val="22"/>
                <w:szCs w:val="22"/>
              </w:rPr>
              <w:lastRenderedPageBreak/>
              <w:t>International experts</w:t>
            </w:r>
          </w:p>
        </w:tc>
        <w:tc>
          <w:tcPr>
            <w:tcW w:w="4024" w:type="pct"/>
            <w:gridSpan w:val="2"/>
          </w:tcPr>
          <w:p w14:paraId="197FFC05" w14:textId="29B9B497" w:rsidR="00390521" w:rsidRDefault="00390521" w:rsidP="008377AE">
            <w:pPr>
              <w:pStyle w:val="ListParagraph"/>
              <w:numPr>
                <w:ilvl w:val="0"/>
                <w:numId w:val="10"/>
              </w:numPr>
              <w:spacing w:after="0"/>
              <w:rPr>
                <w:rFonts w:ascii="Helvetica" w:eastAsiaTheme="majorEastAsia" w:hAnsi="Helvetica" w:cs="Times New Roman"/>
              </w:rPr>
            </w:pPr>
            <w:r>
              <w:rPr>
                <w:rFonts w:ascii="Helvetica" w:eastAsiaTheme="majorEastAsia" w:hAnsi="Helvetica" w:cs="Times New Roman"/>
              </w:rPr>
              <w:t xml:space="preserve">Andres </w:t>
            </w:r>
            <w:proofErr w:type="spellStart"/>
            <w:r>
              <w:rPr>
                <w:rFonts w:ascii="Helvetica" w:eastAsiaTheme="majorEastAsia" w:hAnsi="Helvetica" w:cs="Times New Roman"/>
              </w:rPr>
              <w:t>Rannamäe</w:t>
            </w:r>
            <w:proofErr w:type="spellEnd"/>
          </w:p>
          <w:p w14:paraId="576B3D80" w14:textId="3795E842" w:rsidR="00390521" w:rsidRPr="00390521" w:rsidRDefault="00390521" w:rsidP="008377AE">
            <w:pPr>
              <w:pStyle w:val="ListParagraph"/>
              <w:numPr>
                <w:ilvl w:val="0"/>
                <w:numId w:val="10"/>
              </w:numPr>
              <w:spacing w:after="0"/>
              <w:rPr>
                <w:rFonts w:ascii="Helvetica" w:eastAsiaTheme="majorEastAsia" w:hAnsi="Helvetica" w:cs="Times New Roman"/>
              </w:rPr>
            </w:pPr>
            <w:r w:rsidRPr="00AD649A">
              <w:rPr>
                <w:rFonts w:ascii="Helvetica" w:eastAsiaTheme="majorEastAsia" w:hAnsi="Helvetica" w:cs="Times New Roman"/>
              </w:rPr>
              <w:t>Triin Habicht</w:t>
            </w:r>
          </w:p>
        </w:tc>
      </w:tr>
      <w:tr w:rsidR="00390521" w:rsidRPr="00AD649A" w14:paraId="67B86E5C" w14:textId="77777777" w:rsidTr="008377AE">
        <w:trPr>
          <w:jc w:val="center"/>
        </w:trPr>
        <w:tc>
          <w:tcPr>
            <w:tcW w:w="976" w:type="pct"/>
          </w:tcPr>
          <w:p w14:paraId="0D057BCB" w14:textId="77777777" w:rsidR="00390521" w:rsidRPr="00AD649A" w:rsidRDefault="00390521" w:rsidP="008377AE">
            <w:pPr>
              <w:rPr>
                <w:rFonts w:ascii="Helvetica" w:eastAsiaTheme="majorEastAsia" w:hAnsi="Helvetica"/>
                <w:b/>
                <w:sz w:val="22"/>
                <w:szCs w:val="22"/>
              </w:rPr>
            </w:pPr>
            <w:r w:rsidRPr="00AD649A">
              <w:rPr>
                <w:rFonts w:ascii="Helvetica" w:eastAsiaTheme="majorEastAsia" w:hAnsi="Helvetica"/>
                <w:b/>
                <w:sz w:val="22"/>
                <w:szCs w:val="22"/>
              </w:rPr>
              <w:t>National counterpart(s)</w:t>
            </w:r>
          </w:p>
        </w:tc>
        <w:tc>
          <w:tcPr>
            <w:tcW w:w="4024" w:type="pct"/>
            <w:gridSpan w:val="2"/>
          </w:tcPr>
          <w:p w14:paraId="146AFEAA" w14:textId="30826889" w:rsidR="00390521" w:rsidRPr="00AD649A" w:rsidRDefault="00390521" w:rsidP="008377AE">
            <w:pPr>
              <w:rPr>
                <w:rFonts w:ascii="Helvetica" w:hAnsi="Helvetica"/>
                <w:sz w:val="22"/>
                <w:szCs w:val="22"/>
              </w:rPr>
            </w:pPr>
            <w:r>
              <w:rPr>
                <w:rFonts w:ascii="Helvetica" w:hAnsi="Helvetica"/>
                <w:sz w:val="22"/>
                <w:szCs w:val="22"/>
              </w:rPr>
              <w:t>Strategy Development Working Group established by the MOLHSA</w:t>
            </w:r>
          </w:p>
        </w:tc>
      </w:tr>
      <w:tr w:rsidR="00920F72" w:rsidRPr="00BC3C20" w14:paraId="5BD9ED27" w14:textId="77777777" w:rsidTr="008377AE">
        <w:trPr>
          <w:trHeight w:val="2178"/>
          <w:jc w:val="center"/>
        </w:trPr>
        <w:tc>
          <w:tcPr>
            <w:tcW w:w="981" w:type="pct"/>
            <w:gridSpan w:val="2"/>
          </w:tcPr>
          <w:p w14:paraId="102C0E3D" w14:textId="02D033F7" w:rsidR="00920F72" w:rsidRPr="002B16DA" w:rsidRDefault="00920F72" w:rsidP="008377AE">
            <w:pPr>
              <w:rPr>
                <w:rFonts w:ascii="Helvetica" w:eastAsiaTheme="majorEastAsia" w:hAnsi="Helvetica"/>
                <w:b/>
                <w:sz w:val="22"/>
                <w:szCs w:val="22"/>
              </w:rPr>
            </w:pPr>
            <w:r w:rsidRPr="002B16DA">
              <w:rPr>
                <w:rFonts w:ascii="Helvetica" w:eastAsiaTheme="majorEastAsia" w:hAnsi="Helvetica"/>
                <w:b/>
                <w:sz w:val="22"/>
                <w:szCs w:val="22"/>
              </w:rPr>
              <w:t>Cross-cutting issues</w:t>
            </w:r>
          </w:p>
        </w:tc>
        <w:tc>
          <w:tcPr>
            <w:tcW w:w="4019" w:type="pct"/>
          </w:tcPr>
          <w:p w14:paraId="4F6E8BCF" w14:textId="6273D96E" w:rsidR="005B31F0" w:rsidRPr="002B16DA" w:rsidRDefault="00920F72" w:rsidP="008377AE">
            <w:pPr>
              <w:pStyle w:val="ListParagraph"/>
              <w:spacing w:after="0"/>
              <w:ind w:left="0"/>
              <w:rPr>
                <w:rFonts w:ascii="Helvetica" w:eastAsiaTheme="majorEastAsia" w:hAnsi="Helvetica" w:cs="Times New Roman"/>
              </w:rPr>
            </w:pPr>
            <w:r w:rsidRPr="002B16DA">
              <w:rPr>
                <w:rFonts w:ascii="Helvetica" w:eastAsiaTheme="majorEastAsia" w:hAnsi="Helvetica" w:cs="Times New Roman"/>
              </w:rPr>
              <w:t xml:space="preserve">Capacity building: </w:t>
            </w:r>
            <w:r w:rsidR="005B31F0" w:rsidRPr="002B16DA">
              <w:rPr>
                <w:rFonts w:ascii="Helvetica" w:eastAsiaTheme="majorEastAsia" w:hAnsi="Helvetica" w:cs="Times New Roman"/>
              </w:rPr>
              <w:t>all planned technical activities include capacity building</w:t>
            </w:r>
            <w:r w:rsidR="00C47009">
              <w:rPr>
                <w:rFonts w:ascii="Helvetica" w:eastAsiaTheme="majorEastAsia" w:hAnsi="Helvetica" w:cs="Times New Roman"/>
              </w:rPr>
              <w:t xml:space="preserve"> elements</w:t>
            </w:r>
            <w:r w:rsidR="005B31F0" w:rsidRPr="002B16DA">
              <w:rPr>
                <w:rFonts w:ascii="Helvetica" w:eastAsiaTheme="majorEastAsia" w:hAnsi="Helvetica" w:cs="Times New Roman"/>
              </w:rPr>
              <w:t xml:space="preserve"> according to identified needs. Capacity building can be in the form of seminars, hands-on work assignments supported by consultants, etc</w:t>
            </w:r>
            <w:r w:rsidR="002B16DA" w:rsidRPr="002B16DA">
              <w:rPr>
                <w:rFonts w:ascii="Helvetica" w:eastAsiaTheme="majorEastAsia" w:hAnsi="Helvetica" w:cs="Times New Roman"/>
              </w:rPr>
              <w:t xml:space="preserve">. Additional capacity building needs may be identified during the strategy development, e.g. need to learn from other country experiences. </w:t>
            </w:r>
            <w:r w:rsidR="005B31F0" w:rsidRPr="002B16DA">
              <w:rPr>
                <w:rFonts w:ascii="Helvetica" w:eastAsiaTheme="majorEastAsia" w:hAnsi="Helvetica" w:cs="Times New Roman"/>
              </w:rPr>
              <w:t xml:space="preserve">  </w:t>
            </w:r>
          </w:p>
          <w:p w14:paraId="7964B42A" w14:textId="77777777" w:rsidR="00C47009" w:rsidRPr="00C47009" w:rsidRDefault="00C47009" w:rsidP="008377AE">
            <w:pPr>
              <w:pStyle w:val="ListParagraph"/>
              <w:spacing w:after="0"/>
              <w:ind w:left="0"/>
            </w:pPr>
          </w:p>
          <w:p w14:paraId="052AF3DC" w14:textId="62F663C2" w:rsidR="005B31F0" w:rsidRPr="002B16DA" w:rsidRDefault="00CF2E18" w:rsidP="008377AE">
            <w:pPr>
              <w:pStyle w:val="ListParagraph"/>
              <w:spacing w:after="0"/>
              <w:ind w:left="0"/>
            </w:pPr>
            <w:r w:rsidRPr="002B16DA">
              <w:rPr>
                <w:rFonts w:ascii="Helvetica" w:eastAsiaTheme="majorEastAsia" w:hAnsi="Helvetica" w:cs="Times New Roman"/>
              </w:rPr>
              <w:t xml:space="preserve">Links </w:t>
            </w:r>
            <w:r w:rsidR="005B31F0" w:rsidRPr="002B16DA">
              <w:rPr>
                <w:rFonts w:ascii="Helvetica" w:eastAsiaTheme="majorEastAsia" w:hAnsi="Helvetica" w:cs="Times New Roman"/>
              </w:rPr>
              <w:t xml:space="preserve">directly </w:t>
            </w:r>
            <w:r w:rsidRPr="002B16DA">
              <w:rPr>
                <w:rFonts w:ascii="Helvetica" w:eastAsiaTheme="majorEastAsia" w:hAnsi="Helvetica" w:cs="Times New Roman"/>
              </w:rPr>
              <w:t xml:space="preserve">to </w:t>
            </w:r>
            <w:r w:rsidR="00AF002F" w:rsidRPr="002B16DA">
              <w:rPr>
                <w:rFonts w:ascii="Helvetica" w:eastAsiaTheme="majorEastAsia" w:hAnsi="Helvetica" w:cs="Times New Roman"/>
              </w:rPr>
              <w:t>a</w:t>
            </w:r>
            <w:r w:rsidRPr="002B16DA">
              <w:rPr>
                <w:rFonts w:ascii="Helvetica" w:eastAsiaTheme="majorEastAsia" w:hAnsi="Helvetica" w:cs="Times New Roman"/>
              </w:rPr>
              <w:t>ctivity 2</w:t>
            </w:r>
            <w:r w:rsidR="005B31F0" w:rsidRPr="002B16DA">
              <w:rPr>
                <w:rFonts w:ascii="Helvetica" w:eastAsiaTheme="majorEastAsia" w:hAnsi="Helvetica" w:cs="Times New Roman"/>
              </w:rPr>
              <w:t xml:space="preserve"> and 3</w:t>
            </w:r>
            <w:r w:rsidR="002B16DA" w:rsidRPr="002B16DA">
              <w:rPr>
                <w:rFonts w:ascii="Helvetica" w:eastAsiaTheme="majorEastAsia" w:hAnsi="Helvetica" w:cs="Times New Roman"/>
              </w:rPr>
              <w:t>.</w:t>
            </w:r>
            <w:r w:rsidR="002B16DA">
              <w:rPr>
                <w:rFonts w:ascii="Helvetica" w:eastAsiaTheme="majorEastAsia" w:hAnsi="Helvetica" w:cs="Times New Roman"/>
              </w:rPr>
              <w:t xml:space="preserve"> </w:t>
            </w:r>
          </w:p>
        </w:tc>
      </w:tr>
    </w:tbl>
    <w:p w14:paraId="0B223B00" w14:textId="52395445" w:rsidR="003465DA" w:rsidRDefault="003465DA" w:rsidP="00D62CAF">
      <w:pPr>
        <w:rPr>
          <w:b/>
          <w:color w:val="000000" w:themeColor="text1"/>
        </w:rPr>
      </w:pPr>
      <w:bookmarkStart w:id="3" w:name="_Ref483556097"/>
    </w:p>
    <w:p w14:paraId="1E2BAD1D" w14:textId="77777777" w:rsidR="009D7272" w:rsidRDefault="009D7272">
      <w:pPr>
        <w:spacing w:after="200" w:line="276" w:lineRule="auto"/>
        <w:rPr>
          <w:rFonts w:ascii="Calibri" w:hAnsi="Calibri"/>
          <w:b/>
          <w:color w:val="000000" w:themeColor="text1"/>
          <w:sz w:val="28"/>
          <w:szCs w:val="28"/>
        </w:rPr>
      </w:pPr>
      <w:r>
        <w:rPr>
          <w:b/>
          <w:color w:val="000000" w:themeColor="text1"/>
          <w:sz w:val="28"/>
          <w:szCs w:val="28"/>
        </w:rPr>
        <w:br w:type="page"/>
      </w:r>
    </w:p>
    <w:p w14:paraId="7AF06B6A" w14:textId="0ED34250" w:rsidR="009D7272" w:rsidRPr="008377AE" w:rsidRDefault="009D7272" w:rsidP="008377AE">
      <w:pPr>
        <w:pStyle w:val="Heading1"/>
        <w:spacing w:before="0"/>
        <w:rPr>
          <w:rFonts w:ascii="Helvetica" w:hAnsi="Helvetica"/>
          <w:b/>
          <w:color w:val="000000" w:themeColor="text1"/>
          <w:sz w:val="28"/>
          <w:szCs w:val="28"/>
        </w:rPr>
      </w:pPr>
      <w:bookmarkStart w:id="4" w:name="_Ref483556076"/>
      <w:r w:rsidRPr="00AD649A">
        <w:rPr>
          <w:rFonts w:ascii="Helvetica" w:hAnsi="Helvetica"/>
          <w:b/>
          <w:color w:val="000000" w:themeColor="text1"/>
          <w:sz w:val="28"/>
          <w:szCs w:val="28"/>
        </w:rPr>
        <w:lastRenderedPageBreak/>
        <w:t xml:space="preserve">Activity 2: </w:t>
      </w:r>
      <w:bookmarkEnd w:id="4"/>
      <w:r w:rsidRPr="00AD649A">
        <w:rPr>
          <w:rFonts w:ascii="Helvetica" w:hAnsi="Helvetica"/>
          <w:b/>
          <w:color w:val="000000" w:themeColor="text1"/>
          <w:sz w:val="28"/>
          <w:szCs w:val="28"/>
        </w:rPr>
        <w:t xml:space="preserve">TA to </w:t>
      </w:r>
      <w:r w:rsidR="00241924" w:rsidRPr="00AD649A">
        <w:rPr>
          <w:rFonts w:ascii="Helvetica" w:hAnsi="Helvetica"/>
          <w:b/>
          <w:color w:val="000000" w:themeColor="text1"/>
          <w:sz w:val="28"/>
          <w:szCs w:val="28"/>
        </w:rPr>
        <w:t xml:space="preserve">support DRG implementation and enhancement of other elements of strategic purchasing </w:t>
      </w:r>
      <w:r w:rsidRPr="00AD649A">
        <w:rPr>
          <w:rFonts w:ascii="Helvetica" w:hAnsi="Helvetica"/>
          <w:b/>
          <w:color w:val="000000" w:themeColor="text1"/>
          <w:sz w:val="28"/>
          <w:szCs w:val="28"/>
        </w:rPr>
        <w:t xml:space="preserve">to </w:t>
      </w:r>
      <w:r w:rsidR="00241924" w:rsidRPr="00AD649A">
        <w:rPr>
          <w:rFonts w:ascii="Helvetica" w:hAnsi="Helvetica"/>
          <w:b/>
          <w:color w:val="000000" w:themeColor="text1"/>
          <w:sz w:val="28"/>
          <w:szCs w:val="28"/>
        </w:rPr>
        <w:t xml:space="preserve">increase the value </w:t>
      </w:r>
      <w:r w:rsidR="00AC681C" w:rsidRPr="00AD649A">
        <w:rPr>
          <w:rFonts w:ascii="Helvetica" w:hAnsi="Helvetica"/>
          <w:b/>
          <w:color w:val="000000" w:themeColor="text1"/>
          <w:sz w:val="28"/>
          <w:szCs w:val="28"/>
        </w:rPr>
        <w:t>for public funds</w:t>
      </w:r>
    </w:p>
    <w:tbl>
      <w:tblPr>
        <w:tblStyle w:val="TableGrid"/>
        <w:tblW w:w="5000" w:type="pct"/>
        <w:jc w:val="center"/>
        <w:tblLayout w:type="fixed"/>
        <w:tblLook w:val="04A0" w:firstRow="1" w:lastRow="0" w:firstColumn="1" w:lastColumn="0" w:noHBand="0" w:noVBand="1"/>
      </w:tblPr>
      <w:tblGrid>
        <w:gridCol w:w="1810"/>
        <w:gridCol w:w="7432"/>
      </w:tblGrid>
      <w:tr w:rsidR="001B2E52" w:rsidRPr="00AD649A" w14:paraId="27D59BFE" w14:textId="77777777" w:rsidTr="001B2E52">
        <w:trPr>
          <w:jc w:val="center"/>
        </w:trPr>
        <w:tc>
          <w:tcPr>
            <w:tcW w:w="979" w:type="pct"/>
          </w:tcPr>
          <w:p w14:paraId="08B5A89E"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Objectives</w:t>
            </w:r>
          </w:p>
        </w:tc>
        <w:tc>
          <w:tcPr>
            <w:tcW w:w="4021" w:type="pct"/>
          </w:tcPr>
          <w:p w14:paraId="3C125F0F" w14:textId="6A9E9E48" w:rsidR="009D7272" w:rsidRPr="00AD649A" w:rsidRDefault="009D7272" w:rsidP="008377AE">
            <w:pPr>
              <w:rPr>
                <w:rFonts w:ascii="Helvetica" w:hAnsi="Helvetica"/>
                <w:sz w:val="22"/>
                <w:szCs w:val="22"/>
              </w:rPr>
            </w:pPr>
            <w:r w:rsidRPr="00AD649A">
              <w:rPr>
                <w:rFonts w:ascii="Helvetica" w:eastAsiaTheme="majorEastAsia" w:hAnsi="Helvetica"/>
                <w:sz w:val="22"/>
                <w:szCs w:val="22"/>
              </w:rPr>
              <w:t>To</w:t>
            </w:r>
            <w:r w:rsidR="005361BE" w:rsidRPr="00AD649A">
              <w:rPr>
                <w:rFonts w:ascii="Helvetica" w:eastAsiaTheme="majorEastAsia" w:hAnsi="Helvetica"/>
                <w:sz w:val="22"/>
                <w:szCs w:val="22"/>
              </w:rPr>
              <w:t xml:space="preserve"> support implantation</w:t>
            </w:r>
            <w:r w:rsidR="00AC681C" w:rsidRPr="00AD649A">
              <w:rPr>
                <w:rFonts w:ascii="Helvetica" w:eastAsiaTheme="majorEastAsia" w:hAnsi="Helvetica"/>
                <w:sz w:val="22"/>
                <w:szCs w:val="22"/>
              </w:rPr>
              <w:t xml:space="preserve"> of </w:t>
            </w:r>
            <w:r w:rsidR="005361BE" w:rsidRPr="00AD649A">
              <w:rPr>
                <w:rFonts w:ascii="Helvetica" w:eastAsiaTheme="majorEastAsia" w:hAnsi="Helvetica"/>
                <w:sz w:val="22"/>
                <w:szCs w:val="22"/>
              </w:rPr>
              <w:t>DRG system</w:t>
            </w:r>
            <w:r w:rsidRPr="00AD649A">
              <w:rPr>
                <w:rFonts w:ascii="Helvetica" w:eastAsiaTheme="majorEastAsia" w:hAnsi="Helvetica"/>
                <w:sz w:val="22"/>
                <w:szCs w:val="22"/>
              </w:rPr>
              <w:t xml:space="preserve"> </w:t>
            </w:r>
            <w:r w:rsidR="00241924" w:rsidRPr="00AD649A">
              <w:rPr>
                <w:rFonts w:ascii="Helvetica" w:eastAsiaTheme="majorEastAsia" w:hAnsi="Helvetica"/>
                <w:sz w:val="22"/>
                <w:szCs w:val="22"/>
              </w:rPr>
              <w:t xml:space="preserve">and revision of specialist care contracting, tariff setting and providers’ performance monitoring practices to support strategic purchasing </w:t>
            </w:r>
          </w:p>
        </w:tc>
      </w:tr>
      <w:tr w:rsidR="0056079A" w:rsidRPr="00AD649A" w14:paraId="08988922" w14:textId="77777777" w:rsidTr="00633C35">
        <w:trPr>
          <w:jc w:val="center"/>
        </w:trPr>
        <w:tc>
          <w:tcPr>
            <w:tcW w:w="979" w:type="pct"/>
          </w:tcPr>
          <w:p w14:paraId="6AD6FF7D" w14:textId="77777777" w:rsidR="0056079A" w:rsidRPr="00AD649A" w:rsidRDefault="0056079A" w:rsidP="008377AE">
            <w:pPr>
              <w:rPr>
                <w:rFonts w:ascii="Helvetica" w:eastAsiaTheme="majorEastAsia" w:hAnsi="Helvetica"/>
                <w:b/>
                <w:sz w:val="22"/>
                <w:szCs w:val="22"/>
              </w:rPr>
            </w:pPr>
            <w:r w:rsidRPr="00AD649A">
              <w:rPr>
                <w:rFonts w:ascii="Helvetica" w:eastAsiaTheme="majorEastAsia" w:hAnsi="Helvetica"/>
                <w:b/>
                <w:sz w:val="22"/>
                <w:szCs w:val="22"/>
              </w:rPr>
              <w:t>Timing</w:t>
            </w:r>
          </w:p>
        </w:tc>
        <w:tc>
          <w:tcPr>
            <w:tcW w:w="4021" w:type="pct"/>
          </w:tcPr>
          <w:p w14:paraId="5514589E" w14:textId="77777777" w:rsidR="0056079A" w:rsidRPr="00AD649A" w:rsidRDefault="0056079A" w:rsidP="008377AE">
            <w:pPr>
              <w:rPr>
                <w:rFonts w:ascii="Helvetica" w:eastAsiaTheme="majorEastAsia" w:hAnsi="Helvetica"/>
                <w:sz w:val="22"/>
                <w:szCs w:val="22"/>
              </w:rPr>
            </w:pPr>
            <w:r w:rsidRPr="00AD649A">
              <w:rPr>
                <w:rFonts w:ascii="Helvetica" w:eastAsiaTheme="majorEastAsia" w:hAnsi="Helvetica"/>
                <w:sz w:val="22"/>
                <w:szCs w:val="22"/>
              </w:rPr>
              <w:t xml:space="preserve">January </w:t>
            </w:r>
            <w:r>
              <w:rPr>
                <w:rFonts w:ascii="Helvetica" w:eastAsiaTheme="majorEastAsia" w:hAnsi="Helvetica"/>
                <w:sz w:val="22"/>
                <w:szCs w:val="22"/>
              </w:rPr>
              <w:t xml:space="preserve">– </w:t>
            </w:r>
            <w:r w:rsidRPr="00AD649A">
              <w:rPr>
                <w:rFonts w:ascii="Helvetica" w:eastAsiaTheme="majorEastAsia" w:hAnsi="Helvetica"/>
                <w:sz w:val="22"/>
                <w:szCs w:val="22"/>
              </w:rPr>
              <w:t>December 2018</w:t>
            </w:r>
          </w:p>
        </w:tc>
      </w:tr>
      <w:tr w:rsidR="001B2E52" w:rsidRPr="00AD649A" w14:paraId="7F96F1E2" w14:textId="77777777" w:rsidTr="001B2E52">
        <w:trPr>
          <w:trHeight w:val="724"/>
          <w:jc w:val="center"/>
        </w:trPr>
        <w:tc>
          <w:tcPr>
            <w:tcW w:w="979" w:type="pct"/>
          </w:tcPr>
          <w:p w14:paraId="48CE1512"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Outcomes</w:t>
            </w:r>
          </w:p>
        </w:tc>
        <w:tc>
          <w:tcPr>
            <w:tcW w:w="4021" w:type="pct"/>
          </w:tcPr>
          <w:p w14:paraId="158FACC1" w14:textId="77777777" w:rsidR="00DA635F" w:rsidRPr="00965525" w:rsidRDefault="00DA635F" w:rsidP="008377AE">
            <w:pPr>
              <w:pStyle w:val="ListParagraph"/>
              <w:numPr>
                <w:ilvl w:val="0"/>
                <w:numId w:val="5"/>
              </w:numPr>
              <w:spacing w:after="0"/>
              <w:rPr>
                <w:rFonts w:ascii="Helvetica" w:hAnsi="Helvetica" w:cs="Times New Roman"/>
              </w:rPr>
            </w:pPr>
            <w:r w:rsidRPr="00AD649A">
              <w:rPr>
                <w:rFonts w:ascii="Helvetica" w:eastAsiaTheme="majorEastAsia" w:hAnsi="Helvetica" w:cs="Times New Roman"/>
              </w:rPr>
              <w:t xml:space="preserve">Preparedness for DRG implementation in 2020 </w:t>
            </w:r>
          </w:p>
          <w:p w14:paraId="762E6494" w14:textId="77777777" w:rsidR="00965525" w:rsidRDefault="008C0AF1" w:rsidP="008377AE">
            <w:pPr>
              <w:pStyle w:val="ListParagraph"/>
              <w:numPr>
                <w:ilvl w:val="0"/>
                <w:numId w:val="5"/>
              </w:numPr>
              <w:spacing w:after="0"/>
              <w:rPr>
                <w:rFonts w:ascii="Helvetica" w:hAnsi="Helvetica" w:cs="Times New Roman"/>
              </w:rPr>
            </w:pPr>
            <w:r>
              <w:rPr>
                <w:rFonts w:ascii="Helvetica" w:hAnsi="Helvetica" w:cs="Times New Roman"/>
              </w:rPr>
              <w:t>SSA’s increased capacity to apply strategic purchasing elements to ensure efficiency in using public funds</w:t>
            </w:r>
          </w:p>
          <w:p w14:paraId="1B574FA3" w14:textId="197FA6DE" w:rsidR="004F6C78" w:rsidRPr="00965525" w:rsidRDefault="004F6C78" w:rsidP="008377AE">
            <w:pPr>
              <w:pStyle w:val="ListParagraph"/>
              <w:numPr>
                <w:ilvl w:val="0"/>
                <w:numId w:val="5"/>
              </w:numPr>
              <w:spacing w:after="0"/>
              <w:rPr>
                <w:rFonts w:ascii="Helvetica" w:hAnsi="Helvetica" w:cs="Times New Roman"/>
              </w:rPr>
            </w:pPr>
            <w:r>
              <w:rPr>
                <w:rFonts w:ascii="Helvetica" w:hAnsi="Helvetica" w:cs="Times New Roman"/>
              </w:rPr>
              <w:t>Improved quality of SSA’s claims data</w:t>
            </w:r>
          </w:p>
        </w:tc>
      </w:tr>
      <w:tr w:rsidR="001B2E52" w:rsidRPr="00AD649A" w14:paraId="0CE25A9F" w14:textId="77777777" w:rsidTr="008377AE">
        <w:trPr>
          <w:trHeight w:val="2723"/>
          <w:jc w:val="center"/>
        </w:trPr>
        <w:tc>
          <w:tcPr>
            <w:tcW w:w="979" w:type="pct"/>
          </w:tcPr>
          <w:p w14:paraId="3DBCCCCC" w14:textId="77777777"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Expected outputs</w:t>
            </w:r>
          </w:p>
        </w:tc>
        <w:tc>
          <w:tcPr>
            <w:tcW w:w="4021" w:type="pct"/>
          </w:tcPr>
          <w:p w14:paraId="60F786E6" w14:textId="5EB3B40D" w:rsidR="00AC681C" w:rsidRPr="00AD649A" w:rsidRDefault="007A0614"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 xml:space="preserve">Activities in the DRG implementation plan timely executed </w:t>
            </w:r>
            <w:r w:rsidR="00EE753C">
              <w:rPr>
                <w:rFonts w:ascii="Helvetica" w:eastAsiaTheme="majorEastAsia" w:hAnsi="Helvetica" w:cs="Times New Roman"/>
              </w:rPr>
              <w:t>(December 2018)</w:t>
            </w:r>
          </w:p>
          <w:p w14:paraId="1628B1DA" w14:textId="28F06FA2" w:rsidR="007A0614" w:rsidRPr="007A0614" w:rsidRDefault="007A0614"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Framework for p</w:t>
            </w:r>
            <w:r w:rsidRPr="007A0614">
              <w:rPr>
                <w:rFonts w:ascii="Helvetica" w:eastAsiaTheme="majorEastAsia" w:hAnsi="Helvetica" w:cs="Times New Roman"/>
              </w:rPr>
              <w:t xml:space="preserve">roviders’ DRG-related performance monitoring system </w:t>
            </w:r>
            <w:r w:rsidR="00EE753C">
              <w:rPr>
                <w:rFonts w:ascii="Helvetica" w:eastAsiaTheme="majorEastAsia" w:hAnsi="Helvetica" w:cs="Times New Roman"/>
              </w:rPr>
              <w:t>(1</w:t>
            </w:r>
            <w:r w:rsidR="00EE753C" w:rsidRPr="00EE753C">
              <w:rPr>
                <w:rFonts w:ascii="Helvetica" w:eastAsiaTheme="majorEastAsia" w:hAnsi="Helvetica" w:cs="Times New Roman"/>
                <w:vertAlign w:val="superscript"/>
              </w:rPr>
              <w:t>st</w:t>
            </w:r>
            <w:r w:rsidR="00EE753C">
              <w:rPr>
                <w:rFonts w:ascii="Helvetica" w:eastAsiaTheme="majorEastAsia" w:hAnsi="Helvetica" w:cs="Times New Roman"/>
              </w:rPr>
              <w:t xml:space="preserve"> stage March 2018, 2</w:t>
            </w:r>
            <w:r w:rsidR="00EE753C" w:rsidRPr="00EE753C">
              <w:rPr>
                <w:rFonts w:ascii="Helvetica" w:eastAsiaTheme="majorEastAsia" w:hAnsi="Helvetica" w:cs="Times New Roman"/>
                <w:vertAlign w:val="superscript"/>
              </w:rPr>
              <w:t>nd</w:t>
            </w:r>
            <w:r w:rsidR="00EE753C">
              <w:rPr>
                <w:rFonts w:ascii="Helvetica" w:eastAsiaTheme="majorEastAsia" w:hAnsi="Helvetica" w:cs="Times New Roman"/>
              </w:rPr>
              <w:t xml:space="preserve"> stage May 2018)</w:t>
            </w:r>
          </w:p>
          <w:p w14:paraId="19096916" w14:textId="6DB9A3A0" w:rsidR="00B6748F" w:rsidRPr="00784518" w:rsidRDefault="00B6748F"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 xml:space="preserve">Recommendations and support to develop </w:t>
            </w:r>
            <w:r w:rsidR="007A0614" w:rsidRPr="007A0614">
              <w:rPr>
                <w:rFonts w:ascii="Helvetica" w:eastAsiaTheme="majorEastAsia" w:hAnsi="Helvetica" w:cs="Times New Roman"/>
              </w:rPr>
              <w:t>DRG tariff setting methodology and reimbursement policy</w:t>
            </w:r>
            <w:r w:rsidR="00EE753C">
              <w:rPr>
                <w:rFonts w:ascii="Helvetica" w:eastAsiaTheme="majorEastAsia" w:hAnsi="Helvetica" w:cs="Times New Roman"/>
              </w:rPr>
              <w:t xml:space="preserve"> (November 2018)</w:t>
            </w:r>
            <w:r w:rsidR="007A0614" w:rsidRPr="007A0614">
              <w:rPr>
                <w:rFonts w:ascii="Helvetica" w:eastAsiaTheme="majorEastAsia" w:hAnsi="Helvetica" w:cs="Times New Roman"/>
              </w:rPr>
              <w:t xml:space="preserve"> </w:t>
            </w:r>
          </w:p>
          <w:p w14:paraId="02C609A5" w14:textId="77777777" w:rsidR="00CE44E4" w:rsidRPr="007A0614" w:rsidRDefault="00CE44E4" w:rsidP="008377AE">
            <w:pPr>
              <w:pStyle w:val="ListParagraph"/>
              <w:numPr>
                <w:ilvl w:val="0"/>
                <w:numId w:val="8"/>
              </w:numPr>
              <w:spacing w:after="0"/>
              <w:rPr>
                <w:rFonts w:ascii="Helvetica" w:hAnsi="Helvetica" w:cs="Times New Roman"/>
              </w:rPr>
            </w:pPr>
            <w:r w:rsidRPr="00AD649A">
              <w:rPr>
                <w:rFonts w:ascii="Helvetica" w:eastAsiaTheme="majorEastAsia" w:hAnsi="Helvetica" w:cs="Times New Roman"/>
              </w:rPr>
              <w:t>Recommendations and tools for improving quality</w:t>
            </w:r>
            <w:r>
              <w:rPr>
                <w:rFonts w:ascii="Helvetica" w:eastAsiaTheme="majorEastAsia" w:hAnsi="Helvetica" w:cs="Times New Roman"/>
              </w:rPr>
              <w:t xml:space="preserve"> of SSA’s claims </w:t>
            </w:r>
            <w:r w:rsidRPr="00AD649A">
              <w:rPr>
                <w:rFonts w:ascii="Helvetica" w:eastAsiaTheme="majorEastAsia" w:hAnsi="Helvetica" w:cs="Times New Roman"/>
              </w:rPr>
              <w:t>data</w:t>
            </w:r>
            <w:r>
              <w:rPr>
                <w:rFonts w:ascii="Helvetica" w:eastAsiaTheme="majorEastAsia" w:hAnsi="Helvetica" w:cs="Times New Roman"/>
              </w:rPr>
              <w:t xml:space="preserve"> (December 2018)</w:t>
            </w:r>
            <w:r w:rsidRPr="00AD649A">
              <w:rPr>
                <w:rFonts w:ascii="Helvetica" w:eastAsiaTheme="majorEastAsia" w:hAnsi="Helvetica" w:cs="Times New Roman"/>
              </w:rPr>
              <w:t xml:space="preserve"> </w:t>
            </w:r>
          </w:p>
          <w:p w14:paraId="4B5EBF6B" w14:textId="411B1C90" w:rsidR="00C0728F" w:rsidRPr="00CE44E4" w:rsidRDefault="00EE753C"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Training plan for capacity building (March 2018) and c</w:t>
            </w:r>
            <w:r w:rsidR="007A0614" w:rsidRPr="00AD649A">
              <w:rPr>
                <w:rFonts w:ascii="Helvetica" w:eastAsiaTheme="majorEastAsia" w:hAnsi="Helvetica" w:cs="Times New Roman"/>
              </w:rPr>
              <w:t xml:space="preserve">apacity building </w:t>
            </w:r>
            <w:r w:rsidR="00B6748F">
              <w:rPr>
                <w:rFonts w:ascii="Helvetica" w:eastAsiaTheme="majorEastAsia" w:hAnsi="Helvetica" w:cs="Times New Roman"/>
              </w:rPr>
              <w:t xml:space="preserve">to support DRG implementation plan </w:t>
            </w:r>
            <w:r w:rsidR="007A2605">
              <w:rPr>
                <w:rFonts w:ascii="Helvetica" w:eastAsiaTheme="majorEastAsia" w:hAnsi="Helvetica" w:cs="Times New Roman"/>
              </w:rPr>
              <w:t>execution</w:t>
            </w:r>
            <w:r>
              <w:rPr>
                <w:rFonts w:ascii="Helvetica" w:eastAsiaTheme="majorEastAsia" w:hAnsi="Helvetica" w:cs="Times New Roman"/>
              </w:rPr>
              <w:t xml:space="preserve"> (December 2018)</w:t>
            </w:r>
          </w:p>
        </w:tc>
      </w:tr>
      <w:tr w:rsidR="001B2E52" w:rsidRPr="00AD649A" w14:paraId="12704ECB" w14:textId="77777777" w:rsidTr="001B2E52">
        <w:trPr>
          <w:jc w:val="center"/>
        </w:trPr>
        <w:tc>
          <w:tcPr>
            <w:tcW w:w="979" w:type="pct"/>
          </w:tcPr>
          <w:p w14:paraId="62BB3317"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Scope</w:t>
            </w:r>
          </w:p>
        </w:tc>
        <w:tc>
          <w:tcPr>
            <w:tcW w:w="4021" w:type="pct"/>
          </w:tcPr>
          <w:p w14:paraId="737D30B6" w14:textId="45842A7F" w:rsidR="0095691C" w:rsidRDefault="0095691C" w:rsidP="008377AE">
            <w:pPr>
              <w:rPr>
                <w:rFonts w:ascii="Helvetica" w:eastAsiaTheme="majorEastAsia" w:hAnsi="Helvetica"/>
                <w:sz w:val="22"/>
                <w:szCs w:val="22"/>
              </w:rPr>
            </w:pPr>
            <w:r>
              <w:rPr>
                <w:rFonts w:ascii="Helvetica" w:eastAsiaTheme="majorEastAsia" w:hAnsi="Helvetica"/>
                <w:sz w:val="22"/>
                <w:szCs w:val="22"/>
              </w:rPr>
              <w:t>I</w:t>
            </w:r>
            <w:r w:rsidRPr="002B16DA">
              <w:rPr>
                <w:rFonts w:ascii="Helvetica" w:eastAsiaTheme="majorEastAsia" w:hAnsi="Helvetica"/>
                <w:sz w:val="22"/>
                <w:szCs w:val="22"/>
              </w:rPr>
              <w:t>nternational TA will focus on</w:t>
            </w:r>
            <w:r>
              <w:rPr>
                <w:rFonts w:ascii="Helvetica" w:eastAsiaTheme="majorEastAsia" w:hAnsi="Helvetica"/>
                <w:sz w:val="22"/>
                <w:szCs w:val="22"/>
              </w:rPr>
              <w:t xml:space="preserve"> providing support for </w:t>
            </w:r>
            <w:r w:rsidR="003C5F80">
              <w:rPr>
                <w:rFonts w:ascii="Helvetica" w:eastAsiaTheme="majorEastAsia" w:hAnsi="Helvetica"/>
                <w:sz w:val="22"/>
                <w:szCs w:val="22"/>
              </w:rPr>
              <w:t xml:space="preserve">the execution of the </w:t>
            </w:r>
            <w:r>
              <w:rPr>
                <w:rFonts w:ascii="Helvetica" w:eastAsiaTheme="majorEastAsia" w:hAnsi="Helvetica"/>
                <w:sz w:val="22"/>
                <w:szCs w:val="22"/>
              </w:rPr>
              <w:t>DRG implementation plan. Due dates and content may change during the year depending on the progress made and identified TA needs.</w:t>
            </w:r>
          </w:p>
          <w:p w14:paraId="24C2AEFA" w14:textId="77777777" w:rsidR="0095691C" w:rsidRDefault="0095691C" w:rsidP="008377AE">
            <w:pPr>
              <w:rPr>
                <w:rFonts w:ascii="Helvetica" w:eastAsiaTheme="majorEastAsia" w:hAnsi="Helvetica"/>
                <w:sz w:val="22"/>
                <w:szCs w:val="22"/>
              </w:rPr>
            </w:pPr>
          </w:p>
          <w:p w14:paraId="2069CAF9" w14:textId="651F7F21" w:rsidR="00A97788" w:rsidRPr="00AD649A" w:rsidRDefault="00A97788" w:rsidP="008377AE">
            <w:pPr>
              <w:rPr>
                <w:rFonts w:ascii="Helvetica" w:eastAsiaTheme="majorEastAsia" w:hAnsi="Helvetica"/>
                <w:sz w:val="22"/>
                <w:szCs w:val="22"/>
              </w:rPr>
            </w:pPr>
            <w:r w:rsidRPr="00AD649A">
              <w:rPr>
                <w:rFonts w:ascii="Helvetica" w:eastAsiaTheme="majorEastAsia" w:hAnsi="Helvetica"/>
                <w:sz w:val="22"/>
                <w:szCs w:val="22"/>
              </w:rPr>
              <w:t>TA to cover the following areas of DRG implementation</w:t>
            </w:r>
            <w:r w:rsidR="009D7272" w:rsidRPr="00AD649A">
              <w:rPr>
                <w:rFonts w:ascii="Helvetica" w:eastAsiaTheme="majorEastAsia" w:hAnsi="Helvetica"/>
                <w:sz w:val="22"/>
                <w:szCs w:val="22"/>
              </w:rPr>
              <w:t>:</w:t>
            </w:r>
          </w:p>
          <w:p w14:paraId="15528611" w14:textId="35E8372A" w:rsidR="00A97788" w:rsidRPr="00AD649A" w:rsidRDefault="002A2BF6" w:rsidP="008377AE">
            <w:pPr>
              <w:pStyle w:val="ListParagraph"/>
              <w:numPr>
                <w:ilvl w:val="0"/>
                <w:numId w:val="13"/>
              </w:numPr>
              <w:spacing w:after="0"/>
              <w:rPr>
                <w:rFonts w:ascii="Helvetica" w:hAnsi="Helvetica" w:cs="Times New Roman"/>
              </w:rPr>
            </w:pPr>
            <w:r>
              <w:rPr>
                <w:rFonts w:ascii="Helvetica" w:hAnsi="Helvetica" w:cs="Times New Roman"/>
              </w:rPr>
              <w:t xml:space="preserve">Developing </w:t>
            </w:r>
            <w:r w:rsidR="00A97788" w:rsidRPr="00AD649A">
              <w:rPr>
                <w:rFonts w:ascii="Helvetica" w:hAnsi="Helvetica" w:cs="Times New Roman"/>
              </w:rPr>
              <w:t>DRG implementation and transition strategy</w:t>
            </w:r>
            <w:r>
              <w:rPr>
                <w:rFonts w:ascii="Helvetica" w:hAnsi="Helvetica" w:cs="Times New Roman"/>
              </w:rPr>
              <w:t xml:space="preserve"> (March 2018)</w:t>
            </w:r>
          </w:p>
          <w:p w14:paraId="615A7C9A" w14:textId="44D0540E" w:rsidR="002A2BF6" w:rsidRPr="002A2BF6" w:rsidRDefault="002A2BF6" w:rsidP="008377AE">
            <w:pPr>
              <w:pStyle w:val="ListParagraph"/>
              <w:numPr>
                <w:ilvl w:val="0"/>
                <w:numId w:val="13"/>
              </w:numPr>
              <w:spacing w:after="0"/>
              <w:rPr>
                <w:rFonts w:ascii="Helvetica" w:hAnsi="Helvetica" w:cs="Times New Roman"/>
              </w:rPr>
            </w:pPr>
            <w:r>
              <w:rPr>
                <w:rFonts w:ascii="Helvetica" w:hAnsi="Helvetica" w:cs="Times New Roman"/>
              </w:rPr>
              <w:t xml:space="preserve">Supporting the revision of </w:t>
            </w:r>
            <w:r w:rsidRPr="002A2BF6">
              <w:rPr>
                <w:rFonts w:ascii="Helvetica" w:hAnsi="Helvetica"/>
              </w:rPr>
              <w:t>coding guidelines for ICD-10 and NCSP</w:t>
            </w:r>
            <w:r>
              <w:rPr>
                <w:rFonts w:ascii="Helvetica" w:hAnsi="Helvetica"/>
              </w:rPr>
              <w:t xml:space="preserve"> (September 2018) and development tools and methodology for</w:t>
            </w:r>
            <w:r w:rsidRPr="002A2BF6">
              <w:rPr>
                <w:rFonts w:ascii="Helvetica" w:hAnsi="Helvetica"/>
              </w:rPr>
              <w:t xml:space="preserve"> the external clinical coding audits</w:t>
            </w:r>
            <w:r>
              <w:rPr>
                <w:rFonts w:ascii="Helvetica" w:hAnsi="Helvetica"/>
              </w:rPr>
              <w:t xml:space="preserve"> (December 2018)</w:t>
            </w:r>
          </w:p>
          <w:p w14:paraId="4AEF852E" w14:textId="79994930" w:rsidR="002A2BF6" w:rsidRDefault="00EE753C" w:rsidP="008377AE">
            <w:pPr>
              <w:pStyle w:val="ListParagraph"/>
              <w:numPr>
                <w:ilvl w:val="0"/>
                <w:numId w:val="13"/>
              </w:numPr>
              <w:spacing w:after="0"/>
              <w:rPr>
                <w:rFonts w:ascii="Helvetica" w:hAnsi="Helvetica" w:cs="Times New Roman"/>
              </w:rPr>
            </w:pPr>
            <w:r>
              <w:rPr>
                <w:rFonts w:ascii="Helvetica" w:hAnsi="Helvetica" w:cs="Times New Roman"/>
              </w:rPr>
              <w:t>Providing support to develop DRG tariff setting and reimbursement policy (November 2018)</w:t>
            </w:r>
          </w:p>
          <w:p w14:paraId="0899BA8A" w14:textId="6C5BF006" w:rsidR="00EE753C" w:rsidRDefault="00EE753C" w:rsidP="008377AE">
            <w:pPr>
              <w:pStyle w:val="ListParagraph"/>
              <w:numPr>
                <w:ilvl w:val="0"/>
                <w:numId w:val="13"/>
              </w:numPr>
              <w:spacing w:after="0"/>
              <w:rPr>
                <w:rFonts w:ascii="Helvetica" w:hAnsi="Helvetica" w:cs="Times New Roman"/>
              </w:rPr>
            </w:pPr>
            <w:r>
              <w:rPr>
                <w:rFonts w:ascii="Helvetica" w:hAnsi="Helvetica" w:cs="Times New Roman"/>
              </w:rPr>
              <w:t>Developing f</w:t>
            </w:r>
            <w:r w:rsidRPr="00EE753C">
              <w:rPr>
                <w:rFonts w:ascii="Helvetica" w:hAnsi="Helvetica" w:cs="Times New Roman"/>
              </w:rPr>
              <w:t>ramework for providers’ DRG-related performance monitoring system (1</w:t>
            </w:r>
            <w:r w:rsidRPr="003C5F80">
              <w:rPr>
                <w:rFonts w:ascii="Helvetica" w:hAnsi="Helvetica" w:cs="Times New Roman"/>
                <w:vertAlign w:val="superscript"/>
              </w:rPr>
              <w:t>st</w:t>
            </w:r>
            <w:r w:rsidRPr="00EE753C">
              <w:rPr>
                <w:rFonts w:ascii="Helvetica" w:hAnsi="Helvetica" w:cs="Times New Roman"/>
              </w:rPr>
              <w:t xml:space="preserve"> stage March 2018, 2</w:t>
            </w:r>
            <w:r w:rsidRPr="003C5F80">
              <w:rPr>
                <w:rFonts w:ascii="Helvetica" w:hAnsi="Helvetica" w:cs="Times New Roman"/>
                <w:vertAlign w:val="superscript"/>
              </w:rPr>
              <w:t>nd</w:t>
            </w:r>
            <w:r w:rsidRPr="00EE753C">
              <w:rPr>
                <w:rFonts w:ascii="Helvetica" w:hAnsi="Helvetica" w:cs="Times New Roman"/>
              </w:rPr>
              <w:t xml:space="preserve"> stage May 2018)</w:t>
            </w:r>
          </w:p>
          <w:p w14:paraId="286B7588" w14:textId="77777777" w:rsidR="00FF61E0" w:rsidRDefault="00086F78" w:rsidP="008377AE">
            <w:pPr>
              <w:pStyle w:val="ListParagraph"/>
              <w:numPr>
                <w:ilvl w:val="0"/>
                <w:numId w:val="13"/>
              </w:numPr>
              <w:spacing w:after="0"/>
              <w:rPr>
                <w:rFonts w:ascii="Helvetica" w:hAnsi="Helvetica" w:cs="Times New Roman"/>
              </w:rPr>
            </w:pPr>
            <w:r w:rsidRPr="00EE753C">
              <w:rPr>
                <w:rFonts w:ascii="Helvetica" w:hAnsi="Helvetica" w:cs="Times New Roman"/>
              </w:rPr>
              <w:t>Asses</w:t>
            </w:r>
            <w:r>
              <w:rPr>
                <w:rFonts w:ascii="Helvetica" w:hAnsi="Helvetica" w:cs="Times New Roman"/>
              </w:rPr>
              <w:t>sing</w:t>
            </w:r>
            <w:r w:rsidR="00EE753C">
              <w:rPr>
                <w:rFonts w:ascii="Helvetica" w:hAnsi="Helvetica" w:cs="Times New Roman"/>
              </w:rPr>
              <w:t xml:space="preserve"> </w:t>
            </w:r>
            <w:r w:rsidR="00EE753C" w:rsidRPr="00EE753C">
              <w:rPr>
                <w:rFonts w:ascii="Helvetica" w:hAnsi="Helvetica" w:cs="Times New Roman"/>
              </w:rPr>
              <w:t>the gaps in capacity and develop</w:t>
            </w:r>
            <w:r>
              <w:rPr>
                <w:rFonts w:ascii="Helvetica" w:hAnsi="Helvetica" w:cs="Times New Roman"/>
              </w:rPr>
              <w:t>ing</w:t>
            </w:r>
            <w:r w:rsidR="00EE753C" w:rsidRPr="00EE753C">
              <w:rPr>
                <w:rFonts w:ascii="Helvetica" w:hAnsi="Helvetica" w:cs="Times New Roman"/>
              </w:rPr>
              <w:t xml:space="preserve"> the training plan for capacity building </w:t>
            </w:r>
            <w:r>
              <w:rPr>
                <w:rFonts w:ascii="Helvetica" w:hAnsi="Helvetica" w:cs="Times New Roman"/>
              </w:rPr>
              <w:t>keeping in mind the needs of different stakeholders (March 2018)</w:t>
            </w:r>
          </w:p>
          <w:p w14:paraId="5AA8A289" w14:textId="6F2CC8DD" w:rsidR="00CE44E4" w:rsidRPr="00CE44E4" w:rsidRDefault="00CE44E4" w:rsidP="008377AE">
            <w:pPr>
              <w:rPr>
                <w:rFonts w:ascii="Helvetica" w:hAnsi="Helvetica"/>
              </w:rPr>
            </w:pPr>
            <w:r>
              <w:rPr>
                <w:rFonts w:ascii="Helvetica" w:eastAsiaTheme="majorEastAsia" w:hAnsi="Helvetica"/>
                <w:sz w:val="22"/>
                <w:szCs w:val="22"/>
              </w:rPr>
              <w:t>Due dates and content may change during the year depending on the progress made and identified TA needs.</w:t>
            </w:r>
          </w:p>
        </w:tc>
      </w:tr>
      <w:tr w:rsidR="001B2E52" w:rsidRPr="00AD649A" w14:paraId="584AFB77" w14:textId="77777777" w:rsidTr="001B2E52">
        <w:trPr>
          <w:jc w:val="center"/>
        </w:trPr>
        <w:tc>
          <w:tcPr>
            <w:tcW w:w="979" w:type="pct"/>
          </w:tcPr>
          <w:p w14:paraId="798B803C" w14:textId="54946A42"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International experts</w:t>
            </w:r>
          </w:p>
        </w:tc>
        <w:tc>
          <w:tcPr>
            <w:tcW w:w="4021" w:type="pct"/>
          </w:tcPr>
          <w:p w14:paraId="77C36A5D" w14:textId="77777777" w:rsidR="009D7272" w:rsidRPr="00AD649A" w:rsidRDefault="009D7272" w:rsidP="008377AE">
            <w:pPr>
              <w:pStyle w:val="ListParagraph"/>
              <w:numPr>
                <w:ilvl w:val="0"/>
                <w:numId w:val="10"/>
              </w:numPr>
              <w:spacing w:after="0"/>
              <w:rPr>
                <w:rFonts w:ascii="Helvetica" w:eastAsiaTheme="majorEastAsia" w:hAnsi="Helvetica" w:cs="Times New Roman"/>
              </w:rPr>
            </w:pPr>
            <w:r w:rsidRPr="00AD649A">
              <w:rPr>
                <w:rFonts w:ascii="Helvetica" w:eastAsiaTheme="majorEastAsia" w:hAnsi="Helvetica" w:cs="Times New Roman"/>
              </w:rPr>
              <w:t>Triin Habicht</w:t>
            </w:r>
          </w:p>
          <w:p w14:paraId="1ED479A2" w14:textId="6B5C3B42" w:rsidR="00BD453B" w:rsidRPr="00AD649A" w:rsidRDefault="009D7272" w:rsidP="008377AE">
            <w:pPr>
              <w:pStyle w:val="ListParagraph"/>
              <w:numPr>
                <w:ilvl w:val="0"/>
                <w:numId w:val="10"/>
              </w:numPr>
              <w:spacing w:after="0"/>
              <w:rPr>
                <w:rFonts w:ascii="Helvetica" w:hAnsi="Helvetica"/>
              </w:rPr>
            </w:pPr>
            <w:proofErr w:type="spellStart"/>
            <w:r w:rsidRPr="00AD649A">
              <w:rPr>
                <w:rFonts w:ascii="Helvetica" w:eastAsiaTheme="majorEastAsia" w:hAnsi="Helvetica" w:cs="Times New Roman"/>
              </w:rPr>
              <w:t>Kristiina</w:t>
            </w:r>
            <w:proofErr w:type="spellEnd"/>
            <w:r w:rsidRPr="00AD649A">
              <w:rPr>
                <w:rFonts w:ascii="Helvetica" w:eastAsiaTheme="majorEastAsia" w:hAnsi="Helvetica" w:cs="Times New Roman"/>
              </w:rPr>
              <w:t xml:space="preserve"> </w:t>
            </w:r>
            <w:proofErr w:type="spellStart"/>
            <w:r w:rsidRPr="00AD649A">
              <w:rPr>
                <w:rFonts w:ascii="Helvetica" w:eastAsiaTheme="majorEastAsia" w:hAnsi="Helvetica" w:cs="Times New Roman"/>
              </w:rPr>
              <w:t>Kahur</w:t>
            </w:r>
            <w:proofErr w:type="spellEnd"/>
          </w:p>
        </w:tc>
      </w:tr>
      <w:tr w:rsidR="001B2E52" w:rsidRPr="00AD649A" w14:paraId="63244916" w14:textId="77777777" w:rsidTr="001B2E52">
        <w:trPr>
          <w:jc w:val="center"/>
        </w:trPr>
        <w:tc>
          <w:tcPr>
            <w:tcW w:w="979" w:type="pct"/>
          </w:tcPr>
          <w:p w14:paraId="4F9DE63C" w14:textId="16ECC3F5"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National counterpart</w:t>
            </w:r>
            <w:r w:rsidR="00AC681C" w:rsidRPr="00AD649A">
              <w:rPr>
                <w:rFonts w:ascii="Helvetica" w:eastAsiaTheme="majorEastAsia" w:hAnsi="Helvetica"/>
                <w:b/>
                <w:sz w:val="22"/>
                <w:szCs w:val="22"/>
              </w:rPr>
              <w:t>(s)</w:t>
            </w:r>
          </w:p>
        </w:tc>
        <w:tc>
          <w:tcPr>
            <w:tcW w:w="4021" w:type="pct"/>
          </w:tcPr>
          <w:p w14:paraId="77967C1C" w14:textId="2BFA73EA" w:rsidR="009D7272" w:rsidRPr="00AD649A" w:rsidRDefault="001B2E52" w:rsidP="008377AE">
            <w:pPr>
              <w:rPr>
                <w:rFonts w:ascii="Helvetica" w:hAnsi="Helvetica"/>
                <w:sz w:val="22"/>
                <w:szCs w:val="22"/>
              </w:rPr>
            </w:pPr>
            <w:r>
              <w:rPr>
                <w:rFonts w:ascii="Helvetica" w:hAnsi="Helvetica"/>
                <w:sz w:val="22"/>
                <w:szCs w:val="22"/>
              </w:rPr>
              <w:t>DRG Working Group</w:t>
            </w:r>
            <w:r w:rsidR="00390521">
              <w:rPr>
                <w:rFonts w:ascii="Helvetica" w:hAnsi="Helvetica"/>
                <w:sz w:val="22"/>
                <w:szCs w:val="22"/>
              </w:rPr>
              <w:t xml:space="preserve"> established by the MOLHSA</w:t>
            </w:r>
          </w:p>
        </w:tc>
      </w:tr>
      <w:tr w:rsidR="001B2E52" w:rsidRPr="00AD649A" w14:paraId="0ACBBA8A" w14:textId="77777777" w:rsidTr="001B2E52">
        <w:trPr>
          <w:jc w:val="center"/>
        </w:trPr>
        <w:tc>
          <w:tcPr>
            <w:tcW w:w="979" w:type="pct"/>
          </w:tcPr>
          <w:p w14:paraId="0214C835" w14:textId="7DF55CB2"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Cross-cutting issues</w:t>
            </w:r>
          </w:p>
        </w:tc>
        <w:tc>
          <w:tcPr>
            <w:tcW w:w="4021" w:type="pct"/>
          </w:tcPr>
          <w:p w14:paraId="16DB3CFC" w14:textId="5F2AFA5A" w:rsidR="000A7CFD" w:rsidRPr="000A7CFD" w:rsidRDefault="000A7CFD" w:rsidP="008377AE">
            <w:pPr>
              <w:pStyle w:val="ListParagraph"/>
              <w:numPr>
                <w:ilvl w:val="0"/>
                <w:numId w:val="6"/>
              </w:numPr>
              <w:spacing w:after="0"/>
              <w:rPr>
                <w:rFonts w:ascii="Helvetica" w:eastAsiaTheme="majorEastAsia" w:hAnsi="Helvetica" w:cs="Times New Roman"/>
              </w:rPr>
            </w:pPr>
            <w:r w:rsidRPr="000A7CFD">
              <w:rPr>
                <w:rFonts w:ascii="Helvetica" w:eastAsiaTheme="majorEastAsia" w:hAnsi="Helvetica" w:cs="Times New Roman"/>
              </w:rPr>
              <w:t>Capacity building: all planned technical activities include capacity building elements according to identified needs</w:t>
            </w:r>
            <w:r>
              <w:rPr>
                <w:rFonts w:ascii="Helvetica" w:eastAsiaTheme="majorEastAsia" w:hAnsi="Helvetica" w:cs="Times New Roman"/>
              </w:rPr>
              <w:t xml:space="preserve"> and training plan</w:t>
            </w:r>
            <w:r w:rsidRPr="000A7CFD">
              <w:rPr>
                <w:rFonts w:ascii="Helvetica" w:eastAsiaTheme="majorEastAsia" w:hAnsi="Helvetica" w:cs="Times New Roman"/>
              </w:rPr>
              <w:t xml:space="preserve">. Capacity building can be in the form of seminars, hands-on work assignments supported by consultants, etc. </w:t>
            </w:r>
            <w:r w:rsidR="008377AE" w:rsidRPr="002B16DA">
              <w:rPr>
                <w:rFonts w:ascii="Helvetica" w:eastAsiaTheme="majorEastAsia" w:hAnsi="Helvetica" w:cs="Times New Roman"/>
              </w:rPr>
              <w:t xml:space="preserve">Additional capacity building needs may be identified during the strategy development, e.g. need to learn from other country experiences.   </w:t>
            </w:r>
          </w:p>
          <w:p w14:paraId="0154093D" w14:textId="77777777" w:rsidR="000A7CFD" w:rsidRPr="000A7CFD" w:rsidRDefault="000A7CFD" w:rsidP="008377AE">
            <w:pPr>
              <w:pStyle w:val="ListParagraph"/>
              <w:spacing w:after="0"/>
              <w:ind w:left="360"/>
              <w:rPr>
                <w:rFonts w:ascii="Helvetica" w:eastAsiaTheme="majorEastAsia" w:hAnsi="Helvetica" w:cs="Times New Roman"/>
              </w:rPr>
            </w:pPr>
          </w:p>
          <w:p w14:paraId="5C74E03F" w14:textId="7006FE93" w:rsidR="009D7272" w:rsidRPr="001B2E52" w:rsidRDefault="000A7CFD" w:rsidP="008377AE">
            <w:pPr>
              <w:pStyle w:val="ListParagraph"/>
              <w:numPr>
                <w:ilvl w:val="0"/>
                <w:numId w:val="6"/>
              </w:numPr>
              <w:spacing w:after="0"/>
              <w:rPr>
                <w:rFonts w:ascii="Helvetica" w:eastAsiaTheme="majorEastAsia" w:hAnsi="Helvetica" w:cs="Times New Roman"/>
              </w:rPr>
            </w:pPr>
            <w:r w:rsidRPr="000A7CFD">
              <w:rPr>
                <w:rFonts w:ascii="Helvetica" w:eastAsiaTheme="majorEastAsia" w:hAnsi="Helvetica" w:cs="Times New Roman"/>
              </w:rPr>
              <w:t xml:space="preserve">Links to activity </w:t>
            </w:r>
            <w:r w:rsidR="001B2E52">
              <w:rPr>
                <w:rFonts w:ascii="Helvetica" w:eastAsiaTheme="majorEastAsia" w:hAnsi="Helvetica" w:cs="Times New Roman"/>
              </w:rPr>
              <w:t>1</w:t>
            </w:r>
            <w:r w:rsidRPr="000A7CFD">
              <w:rPr>
                <w:rFonts w:ascii="Helvetica" w:eastAsiaTheme="majorEastAsia" w:hAnsi="Helvetica" w:cs="Times New Roman"/>
              </w:rPr>
              <w:t xml:space="preserve">. </w:t>
            </w:r>
          </w:p>
        </w:tc>
      </w:tr>
    </w:tbl>
    <w:p w14:paraId="7CC4F8E0" w14:textId="77777777" w:rsidR="009D7272" w:rsidRDefault="009D7272" w:rsidP="009D7272">
      <w:pPr>
        <w:spacing w:after="200" w:line="276" w:lineRule="auto"/>
        <w:rPr>
          <w:rFonts w:asciiTheme="minorHAnsi" w:eastAsiaTheme="majorEastAsia" w:hAnsiTheme="minorHAnsi" w:cstheme="majorBidi"/>
          <w:b/>
          <w:color w:val="000000" w:themeColor="text1"/>
          <w:sz w:val="28"/>
          <w:szCs w:val="28"/>
          <w:lang w:val="en-US" w:eastAsia="zh-CN"/>
        </w:rPr>
      </w:pPr>
      <w:r>
        <w:rPr>
          <w:rFonts w:asciiTheme="minorHAnsi" w:hAnsiTheme="minorHAnsi"/>
          <w:b/>
          <w:color w:val="000000" w:themeColor="text1"/>
          <w:sz w:val="28"/>
          <w:szCs w:val="28"/>
        </w:rPr>
        <w:br w:type="page"/>
      </w:r>
    </w:p>
    <w:p w14:paraId="40F96990" w14:textId="507AFE3C" w:rsidR="00261967" w:rsidRDefault="00261967" w:rsidP="00172514">
      <w:pPr>
        <w:pStyle w:val="p1"/>
      </w:pPr>
    </w:p>
    <w:p w14:paraId="751FD11D" w14:textId="3F75B741" w:rsidR="000D1827" w:rsidRPr="008377AE" w:rsidRDefault="006F40BA" w:rsidP="008377AE">
      <w:pPr>
        <w:pStyle w:val="Heading1"/>
        <w:spacing w:before="0"/>
        <w:rPr>
          <w:rFonts w:ascii="Helvetica" w:hAnsi="Helvetica"/>
          <w:b/>
          <w:color w:val="000000" w:themeColor="text1"/>
          <w:sz w:val="28"/>
          <w:szCs w:val="28"/>
        </w:rPr>
      </w:pPr>
      <w:r w:rsidRPr="00105492">
        <w:rPr>
          <w:rFonts w:ascii="Helvetica" w:hAnsi="Helvetica"/>
          <w:b/>
          <w:color w:val="000000" w:themeColor="text1"/>
          <w:sz w:val="28"/>
          <w:szCs w:val="28"/>
        </w:rPr>
        <w:t xml:space="preserve">Activity </w:t>
      </w:r>
      <w:r w:rsidR="000B51E9" w:rsidRPr="00105492">
        <w:rPr>
          <w:rFonts w:ascii="Helvetica" w:hAnsi="Helvetica"/>
          <w:b/>
          <w:color w:val="000000" w:themeColor="text1"/>
          <w:sz w:val="28"/>
          <w:szCs w:val="28"/>
        </w:rPr>
        <w:t>3</w:t>
      </w:r>
      <w:r w:rsidR="00AE1953" w:rsidRPr="00105492">
        <w:rPr>
          <w:rFonts w:ascii="Helvetica" w:hAnsi="Helvetica"/>
          <w:b/>
          <w:color w:val="000000" w:themeColor="text1"/>
          <w:sz w:val="28"/>
          <w:szCs w:val="28"/>
        </w:rPr>
        <w:t xml:space="preserve">: </w:t>
      </w:r>
      <w:bookmarkEnd w:id="3"/>
      <w:r w:rsidR="0094707D" w:rsidRPr="00105492">
        <w:rPr>
          <w:rFonts w:ascii="Helvetica" w:hAnsi="Helvetica"/>
          <w:b/>
          <w:color w:val="000000" w:themeColor="text1"/>
          <w:sz w:val="28"/>
          <w:szCs w:val="28"/>
        </w:rPr>
        <w:t>TA</w:t>
      </w:r>
      <w:r w:rsidR="00E64E03" w:rsidRPr="00105492">
        <w:rPr>
          <w:rFonts w:ascii="Helvetica" w:hAnsi="Helvetica"/>
          <w:b/>
          <w:color w:val="000000" w:themeColor="text1"/>
          <w:sz w:val="28"/>
          <w:szCs w:val="28"/>
        </w:rPr>
        <w:t xml:space="preserve"> to review </w:t>
      </w:r>
      <w:r w:rsidR="000D1827" w:rsidRPr="00105492">
        <w:rPr>
          <w:rFonts w:ascii="Helvetica" w:hAnsi="Helvetica"/>
          <w:b/>
          <w:color w:val="000000" w:themeColor="text1"/>
          <w:sz w:val="28"/>
          <w:szCs w:val="28"/>
        </w:rPr>
        <w:t xml:space="preserve">patient pathways for </w:t>
      </w:r>
      <w:r w:rsidR="00E64E03" w:rsidRPr="00105492">
        <w:rPr>
          <w:rFonts w:ascii="Helvetica" w:hAnsi="Helvetica"/>
          <w:b/>
          <w:color w:val="000000" w:themeColor="text1"/>
          <w:sz w:val="28"/>
          <w:szCs w:val="28"/>
        </w:rPr>
        <w:t xml:space="preserve">priority </w:t>
      </w:r>
      <w:r w:rsidR="000D1827" w:rsidRPr="00105492">
        <w:rPr>
          <w:rFonts w:ascii="Helvetica" w:hAnsi="Helvetica"/>
          <w:b/>
          <w:color w:val="000000" w:themeColor="text1"/>
          <w:sz w:val="28"/>
          <w:szCs w:val="28"/>
        </w:rPr>
        <w:t>health outcomes</w:t>
      </w:r>
      <w:r w:rsidR="00E64E03" w:rsidRPr="00105492">
        <w:rPr>
          <w:rFonts w:ascii="Helvetica" w:hAnsi="Helvetica"/>
          <w:b/>
          <w:color w:val="000000" w:themeColor="text1"/>
          <w:sz w:val="28"/>
          <w:szCs w:val="28"/>
        </w:rPr>
        <w:t xml:space="preserve"> and develop tools to support their implementation</w:t>
      </w:r>
    </w:p>
    <w:tbl>
      <w:tblPr>
        <w:tblStyle w:val="TableGrid"/>
        <w:tblW w:w="5000" w:type="pct"/>
        <w:jc w:val="center"/>
        <w:tblLook w:val="04A0" w:firstRow="1" w:lastRow="0" w:firstColumn="1" w:lastColumn="0" w:noHBand="0" w:noVBand="1"/>
      </w:tblPr>
      <w:tblGrid>
        <w:gridCol w:w="1793"/>
        <w:gridCol w:w="7449"/>
      </w:tblGrid>
      <w:tr w:rsidR="00E64E03" w:rsidRPr="00105492" w14:paraId="53792F02" w14:textId="77777777" w:rsidTr="00436C48">
        <w:trPr>
          <w:jc w:val="center"/>
        </w:trPr>
        <w:tc>
          <w:tcPr>
            <w:tcW w:w="970" w:type="pct"/>
          </w:tcPr>
          <w:p w14:paraId="609E2A86" w14:textId="66981F6D"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Objective</w:t>
            </w:r>
          </w:p>
        </w:tc>
        <w:tc>
          <w:tcPr>
            <w:tcW w:w="4030" w:type="pct"/>
          </w:tcPr>
          <w:p w14:paraId="2ED243A0" w14:textId="6A97EE68" w:rsidR="00E64E03" w:rsidRPr="008377AE" w:rsidRDefault="00E64E03" w:rsidP="008377AE">
            <w:pPr>
              <w:rPr>
                <w:rFonts w:ascii="Helvetica" w:eastAsiaTheme="majorEastAsia" w:hAnsi="Helvetica"/>
                <w:sz w:val="22"/>
                <w:szCs w:val="22"/>
              </w:rPr>
            </w:pPr>
            <w:r w:rsidRPr="008377AE">
              <w:rPr>
                <w:rFonts w:ascii="Helvetica" w:hAnsi="Helvetica"/>
                <w:sz w:val="22"/>
                <w:szCs w:val="22"/>
              </w:rPr>
              <w:t xml:space="preserve">To </w:t>
            </w:r>
            <w:r w:rsidR="00C62BF2" w:rsidRPr="008377AE">
              <w:rPr>
                <w:rFonts w:ascii="Helvetica" w:hAnsi="Helvetica"/>
                <w:sz w:val="22"/>
                <w:szCs w:val="22"/>
              </w:rPr>
              <w:t>develop</w:t>
            </w:r>
            <w:r w:rsidRPr="008377AE">
              <w:rPr>
                <w:rFonts w:ascii="Helvetica" w:hAnsi="Helvetica"/>
                <w:sz w:val="22"/>
                <w:szCs w:val="22"/>
              </w:rPr>
              <w:t xml:space="preserve"> best practice patient pathways and support their implementation through provider performance monitoring, con</w:t>
            </w:r>
            <w:r w:rsidR="00413EFD" w:rsidRPr="008377AE">
              <w:rPr>
                <w:rFonts w:ascii="Helvetica" w:hAnsi="Helvetica"/>
                <w:sz w:val="22"/>
                <w:szCs w:val="22"/>
              </w:rPr>
              <w:t>tracting and payment incentives</w:t>
            </w:r>
          </w:p>
        </w:tc>
      </w:tr>
      <w:tr w:rsidR="0056079A" w:rsidRPr="00105492" w14:paraId="252AEFE7" w14:textId="77777777" w:rsidTr="00A82FAB">
        <w:trPr>
          <w:jc w:val="center"/>
        </w:trPr>
        <w:tc>
          <w:tcPr>
            <w:tcW w:w="970" w:type="pct"/>
          </w:tcPr>
          <w:p w14:paraId="63C7D2EA" w14:textId="77777777" w:rsidR="0056079A" w:rsidRPr="008377AE" w:rsidRDefault="0056079A" w:rsidP="008377AE">
            <w:pPr>
              <w:rPr>
                <w:rFonts w:ascii="Helvetica" w:eastAsiaTheme="majorEastAsia" w:hAnsi="Helvetica"/>
                <w:b/>
                <w:sz w:val="22"/>
                <w:szCs w:val="22"/>
              </w:rPr>
            </w:pPr>
            <w:r w:rsidRPr="008377AE">
              <w:rPr>
                <w:rFonts w:ascii="Helvetica" w:eastAsiaTheme="majorEastAsia" w:hAnsi="Helvetica"/>
                <w:b/>
                <w:sz w:val="22"/>
                <w:szCs w:val="22"/>
              </w:rPr>
              <w:t>Timing</w:t>
            </w:r>
          </w:p>
        </w:tc>
        <w:tc>
          <w:tcPr>
            <w:tcW w:w="4030" w:type="pct"/>
          </w:tcPr>
          <w:p w14:paraId="3B1E5FA7" w14:textId="2F431EF2" w:rsidR="00604CE5" w:rsidRPr="008377AE" w:rsidRDefault="0056079A" w:rsidP="008377AE">
            <w:pPr>
              <w:rPr>
                <w:rFonts w:ascii="Helvetica" w:eastAsiaTheme="majorEastAsia" w:hAnsi="Helvetica"/>
                <w:sz w:val="22"/>
                <w:szCs w:val="22"/>
              </w:rPr>
            </w:pPr>
            <w:r w:rsidRPr="008377AE">
              <w:rPr>
                <w:rFonts w:ascii="Helvetica" w:eastAsiaTheme="majorEastAsia" w:hAnsi="Helvetica"/>
                <w:sz w:val="22"/>
                <w:szCs w:val="22"/>
              </w:rPr>
              <w:t xml:space="preserve">January – </w:t>
            </w:r>
            <w:r w:rsidR="00B749D6" w:rsidRPr="008377AE">
              <w:rPr>
                <w:rFonts w:ascii="Helvetica" w:eastAsiaTheme="majorEastAsia" w:hAnsi="Helvetica"/>
                <w:sz w:val="22"/>
                <w:szCs w:val="22"/>
              </w:rPr>
              <w:t xml:space="preserve">June </w:t>
            </w:r>
            <w:r w:rsidRPr="008377AE">
              <w:rPr>
                <w:rFonts w:ascii="Helvetica" w:eastAsiaTheme="majorEastAsia" w:hAnsi="Helvetica"/>
                <w:sz w:val="22"/>
                <w:szCs w:val="22"/>
              </w:rPr>
              <w:t>2018</w:t>
            </w:r>
            <w:r w:rsidR="00604CE5" w:rsidRPr="008377AE">
              <w:rPr>
                <w:rFonts w:ascii="Helvetica" w:eastAsiaTheme="majorEastAsia" w:hAnsi="Helvetica"/>
                <w:sz w:val="22"/>
                <w:szCs w:val="22"/>
              </w:rPr>
              <w:t xml:space="preserve"> </w:t>
            </w:r>
          </w:p>
          <w:p w14:paraId="36DF411E" w14:textId="77777777" w:rsidR="00A77DC7" w:rsidRPr="008377AE" w:rsidRDefault="00A77DC7" w:rsidP="008377AE">
            <w:pPr>
              <w:rPr>
                <w:rFonts w:ascii="Helvetica" w:eastAsiaTheme="majorEastAsia" w:hAnsi="Helvetica"/>
                <w:sz w:val="22"/>
                <w:szCs w:val="22"/>
              </w:rPr>
            </w:pPr>
          </w:p>
          <w:p w14:paraId="03F33AFF" w14:textId="57947206" w:rsidR="0056079A" w:rsidRPr="008377AE" w:rsidRDefault="00604CE5" w:rsidP="008377AE">
            <w:pPr>
              <w:rPr>
                <w:rFonts w:ascii="Helvetica" w:eastAsiaTheme="majorEastAsia" w:hAnsi="Helvetica"/>
                <w:sz w:val="22"/>
                <w:szCs w:val="22"/>
              </w:rPr>
            </w:pPr>
            <w:r w:rsidRPr="008377AE">
              <w:rPr>
                <w:rFonts w:ascii="Helvetica" w:eastAsiaTheme="majorEastAsia" w:hAnsi="Helvetica"/>
                <w:sz w:val="22"/>
                <w:szCs w:val="22"/>
              </w:rPr>
              <w:t xml:space="preserve">Plan </w:t>
            </w:r>
            <w:r w:rsidR="00B749D6" w:rsidRPr="008377AE">
              <w:rPr>
                <w:rFonts w:ascii="Helvetica" w:eastAsiaTheme="majorEastAsia" w:hAnsi="Helvetica"/>
                <w:sz w:val="22"/>
                <w:szCs w:val="22"/>
              </w:rPr>
              <w:t xml:space="preserve">for July – December 2018 will be developed based on the outcomes </w:t>
            </w:r>
            <w:r w:rsidR="00570D35" w:rsidRPr="008377AE">
              <w:rPr>
                <w:rFonts w:ascii="Helvetica" w:eastAsiaTheme="majorEastAsia" w:hAnsi="Helvetica"/>
                <w:sz w:val="22"/>
                <w:szCs w:val="22"/>
              </w:rPr>
              <w:t xml:space="preserve">of </w:t>
            </w:r>
            <w:r w:rsidRPr="008377AE">
              <w:rPr>
                <w:rFonts w:ascii="Helvetica" w:eastAsiaTheme="majorEastAsia" w:hAnsi="Helvetica"/>
                <w:sz w:val="22"/>
                <w:szCs w:val="22"/>
              </w:rPr>
              <w:t>first half a year.</w:t>
            </w:r>
          </w:p>
        </w:tc>
      </w:tr>
      <w:tr w:rsidR="00E64E03" w:rsidRPr="00105492" w14:paraId="50C9F573" w14:textId="77777777" w:rsidTr="008377AE">
        <w:trPr>
          <w:trHeight w:val="1144"/>
          <w:jc w:val="center"/>
        </w:trPr>
        <w:tc>
          <w:tcPr>
            <w:tcW w:w="970" w:type="pct"/>
          </w:tcPr>
          <w:p w14:paraId="6B0D506B" w14:textId="174867C8"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Outcomes</w:t>
            </w:r>
          </w:p>
        </w:tc>
        <w:tc>
          <w:tcPr>
            <w:tcW w:w="4030" w:type="pct"/>
          </w:tcPr>
          <w:p w14:paraId="5A46892A" w14:textId="0B604B39" w:rsidR="001B681D" w:rsidRPr="008377AE" w:rsidRDefault="00604CE5" w:rsidP="008377AE">
            <w:pPr>
              <w:pStyle w:val="ListParagraph"/>
              <w:numPr>
                <w:ilvl w:val="0"/>
                <w:numId w:val="16"/>
              </w:numPr>
              <w:spacing w:after="0"/>
              <w:rPr>
                <w:rFonts w:ascii="Helvetica" w:hAnsi="Helvetica"/>
              </w:rPr>
            </w:pPr>
            <w:r w:rsidRPr="008377AE">
              <w:rPr>
                <w:rFonts w:ascii="Helvetica" w:hAnsi="Helvetica"/>
              </w:rPr>
              <w:t xml:space="preserve">Best practice patient pathway for diabetes type 2 </w:t>
            </w:r>
            <w:r w:rsidR="001A1919" w:rsidRPr="008377AE">
              <w:rPr>
                <w:rFonts w:ascii="Helvetica" w:hAnsi="Helvetica"/>
              </w:rPr>
              <w:t xml:space="preserve">is developed and </w:t>
            </w:r>
            <w:r w:rsidR="00C02C08" w:rsidRPr="008377AE">
              <w:rPr>
                <w:rFonts w:ascii="Helvetica" w:hAnsi="Helvetica"/>
              </w:rPr>
              <w:t xml:space="preserve">validated </w:t>
            </w:r>
            <w:r w:rsidR="009149E0" w:rsidRPr="008377AE">
              <w:rPr>
                <w:rFonts w:ascii="Helvetica" w:hAnsi="Helvetica"/>
              </w:rPr>
              <w:t>in local context</w:t>
            </w:r>
          </w:p>
          <w:p w14:paraId="78D2F9E6" w14:textId="620A0AA1" w:rsidR="00C5715B" w:rsidRPr="008377AE" w:rsidRDefault="00C5715B" w:rsidP="008377AE">
            <w:pPr>
              <w:pStyle w:val="ListParagraph"/>
              <w:numPr>
                <w:ilvl w:val="0"/>
                <w:numId w:val="16"/>
              </w:numPr>
              <w:spacing w:after="0"/>
              <w:rPr>
                <w:rFonts w:ascii="Helvetica" w:hAnsi="Helvetica"/>
              </w:rPr>
            </w:pPr>
            <w:r w:rsidRPr="008377AE">
              <w:rPr>
                <w:rFonts w:ascii="Helvetica" w:hAnsi="Helvetica"/>
              </w:rPr>
              <w:t xml:space="preserve">MOLHSA’s and SSA’s </w:t>
            </w:r>
            <w:r w:rsidR="008377AE" w:rsidRPr="008377AE">
              <w:rPr>
                <w:rFonts w:ascii="Helvetica" w:hAnsi="Helvetica"/>
              </w:rPr>
              <w:t xml:space="preserve">increased </w:t>
            </w:r>
            <w:r w:rsidRPr="008377AE">
              <w:rPr>
                <w:rFonts w:ascii="Helvetica" w:hAnsi="Helvetica"/>
              </w:rPr>
              <w:t xml:space="preserve">capacity to use different policy instruments to support best practice patient pathway implementation </w:t>
            </w:r>
          </w:p>
        </w:tc>
      </w:tr>
      <w:tr w:rsidR="00E64E03" w:rsidRPr="00105492" w14:paraId="15F86E6D" w14:textId="77777777" w:rsidTr="00436C48">
        <w:trPr>
          <w:jc w:val="center"/>
        </w:trPr>
        <w:tc>
          <w:tcPr>
            <w:tcW w:w="970" w:type="pct"/>
          </w:tcPr>
          <w:p w14:paraId="229A1B77" w14:textId="77777777" w:rsidR="00E64E03" w:rsidRPr="008377AE" w:rsidRDefault="00E64E03" w:rsidP="008377AE">
            <w:pPr>
              <w:rPr>
                <w:rFonts w:ascii="Helvetica" w:eastAsiaTheme="majorEastAsia" w:hAnsi="Helvetica"/>
                <w:b/>
                <w:sz w:val="22"/>
                <w:szCs w:val="22"/>
              </w:rPr>
            </w:pPr>
            <w:r w:rsidRPr="008377AE">
              <w:rPr>
                <w:rFonts w:ascii="Helvetica" w:eastAsiaTheme="majorEastAsia" w:hAnsi="Helvetica"/>
                <w:b/>
                <w:sz w:val="22"/>
                <w:szCs w:val="22"/>
              </w:rPr>
              <w:t>Expected outputs</w:t>
            </w:r>
          </w:p>
        </w:tc>
        <w:tc>
          <w:tcPr>
            <w:tcW w:w="4030" w:type="pct"/>
          </w:tcPr>
          <w:p w14:paraId="4051EB53" w14:textId="77777777" w:rsidR="00A46F83" w:rsidRPr="008377AE" w:rsidRDefault="00A46F83" w:rsidP="008377AE">
            <w:pPr>
              <w:pStyle w:val="ListParagraph"/>
              <w:numPr>
                <w:ilvl w:val="0"/>
                <w:numId w:val="16"/>
              </w:numPr>
              <w:spacing w:after="0"/>
              <w:rPr>
                <w:rFonts w:ascii="Helvetica" w:hAnsi="Helvetica"/>
              </w:rPr>
            </w:pPr>
            <w:r w:rsidRPr="008377AE">
              <w:rPr>
                <w:rFonts w:ascii="Helvetica" w:hAnsi="Helvetica"/>
              </w:rPr>
              <w:t>Best practice patient pathway for diabetes type 2 is developed and validated in local context</w:t>
            </w:r>
          </w:p>
          <w:p w14:paraId="1FD3CE7A" w14:textId="521E03B1" w:rsidR="00533323" w:rsidRPr="008377AE" w:rsidRDefault="00A46F83" w:rsidP="008377AE">
            <w:pPr>
              <w:pStyle w:val="ListParagraph"/>
              <w:numPr>
                <w:ilvl w:val="0"/>
                <w:numId w:val="16"/>
              </w:numPr>
              <w:spacing w:after="0"/>
              <w:rPr>
                <w:rFonts w:ascii="Helvetica" w:hAnsi="Helvetica"/>
              </w:rPr>
            </w:pPr>
            <w:r w:rsidRPr="008377AE">
              <w:rPr>
                <w:rFonts w:ascii="Helvetica" w:hAnsi="Helvetica"/>
              </w:rPr>
              <w:t>Roadmap to support the implementation of best practice</w:t>
            </w:r>
            <w:r w:rsidR="008377AE" w:rsidRPr="008377AE">
              <w:rPr>
                <w:rFonts w:ascii="Helvetica" w:hAnsi="Helvetica"/>
              </w:rPr>
              <w:t xml:space="preserve"> patient</w:t>
            </w:r>
            <w:r w:rsidRPr="008377AE">
              <w:rPr>
                <w:rFonts w:ascii="Helvetica" w:hAnsi="Helvetica"/>
              </w:rPr>
              <w:t xml:space="preserve"> pathway is developed </w:t>
            </w:r>
          </w:p>
          <w:p w14:paraId="0D1C6918" w14:textId="6C0C2743" w:rsidR="00FD42AF" w:rsidRPr="008377AE" w:rsidRDefault="00533323" w:rsidP="008377AE">
            <w:pPr>
              <w:pStyle w:val="ListParagraph"/>
              <w:numPr>
                <w:ilvl w:val="0"/>
                <w:numId w:val="16"/>
              </w:numPr>
              <w:spacing w:after="0"/>
              <w:rPr>
                <w:rFonts w:ascii="Helvetica" w:hAnsi="Helvetica"/>
              </w:rPr>
            </w:pPr>
            <w:r w:rsidRPr="008377AE">
              <w:rPr>
                <w:rFonts w:ascii="Helvetica" w:hAnsi="Helvetica"/>
              </w:rPr>
              <w:t>Analytical report</w:t>
            </w:r>
            <w:r w:rsidR="001B681D" w:rsidRPr="008377AE">
              <w:rPr>
                <w:rFonts w:ascii="Helvetica" w:hAnsi="Helvetica"/>
              </w:rPr>
              <w:t xml:space="preserve"> and roadmap</w:t>
            </w:r>
            <w:r w:rsidRPr="008377AE">
              <w:rPr>
                <w:rFonts w:ascii="Helvetica" w:hAnsi="Helvetica"/>
              </w:rPr>
              <w:t xml:space="preserve"> </w:t>
            </w:r>
            <w:r w:rsidR="001B681D" w:rsidRPr="008377AE">
              <w:rPr>
                <w:rFonts w:ascii="Helvetica" w:hAnsi="Helvetica"/>
              </w:rPr>
              <w:t xml:space="preserve">to support implementation of patient pathways </w:t>
            </w:r>
          </w:p>
        </w:tc>
      </w:tr>
      <w:tr w:rsidR="00E64E03" w:rsidRPr="00105492" w14:paraId="53D72CF3" w14:textId="77777777" w:rsidTr="00436C48">
        <w:trPr>
          <w:jc w:val="center"/>
        </w:trPr>
        <w:tc>
          <w:tcPr>
            <w:tcW w:w="970" w:type="pct"/>
          </w:tcPr>
          <w:p w14:paraId="6EDA1138" w14:textId="417C319C" w:rsidR="00E64E03" w:rsidRPr="008377AE" w:rsidRDefault="00E64E03" w:rsidP="008377AE">
            <w:pPr>
              <w:rPr>
                <w:rFonts w:ascii="Helvetica" w:eastAsiaTheme="majorEastAsia" w:hAnsi="Helvetica"/>
                <w:sz w:val="22"/>
                <w:szCs w:val="22"/>
              </w:rPr>
            </w:pPr>
            <w:r w:rsidRPr="008377AE">
              <w:rPr>
                <w:rFonts w:ascii="Helvetica" w:hAnsi="Helvetica"/>
                <w:b/>
                <w:sz w:val="22"/>
                <w:szCs w:val="22"/>
              </w:rPr>
              <w:t>Scope</w:t>
            </w:r>
          </w:p>
        </w:tc>
        <w:tc>
          <w:tcPr>
            <w:tcW w:w="4030" w:type="pct"/>
          </w:tcPr>
          <w:p w14:paraId="30B98695" w14:textId="64806BD3" w:rsidR="00533323" w:rsidRPr="008377AE" w:rsidRDefault="00533323" w:rsidP="008377AE">
            <w:pPr>
              <w:pStyle w:val="ListParagraph"/>
              <w:numPr>
                <w:ilvl w:val="0"/>
                <w:numId w:val="17"/>
              </w:numPr>
              <w:spacing w:after="0"/>
              <w:rPr>
                <w:rFonts w:ascii="Helvetica" w:eastAsiaTheme="majorEastAsia" w:hAnsi="Helvetica"/>
              </w:rPr>
            </w:pPr>
            <w:r w:rsidRPr="008377AE">
              <w:rPr>
                <w:rFonts w:ascii="Helvetica" w:eastAsiaTheme="majorEastAsia" w:hAnsi="Helvetica"/>
              </w:rPr>
              <w:t>Validation of best practice patient pathway for diabetes type 2 (March 2018)</w:t>
            </w:r>
          </w:p>
          <w:p w14:paraId="0BBF0237" w14:textId="4AC6065F" w:rsidR="00533323" w:rsidRPr="008377AE" w:rsidRDefault="00533323" w:rsidP="008377AE">
            <w:pPr>
              <w:pStyle w:val="ListParagraph"/>
              <w:numPr>
                <w:ilvl w:val="0"/>
                <w:numId w:val="17"/>
              </w:numPr>
              <w:spacing w:after="0"/>
              <w:rPr>
                <w:rFonts w:ascii="Helvetica" w:eastAsiaTheme="majorEastAsia" w:hAnsi="Helvetica"/>
              </w:rPr>
            </w:pPr>
            <w:r w:rsidRPr="008377AE">
              <w:rPr>
                <w:rFonts w:ascii="Helvetica" w:eastAsiaTheme="majorEastAsia" w:hAnsi="Helvetica"/>
              </w:rPr>
              <w:t>Mapping existing payment mechanisms re</w:t>
            </w:r>
            <w:r w:rsidR="008377AE">
              <w:rPr>
                <w:rFonts w:ascii="Helvetica" w:eastAsiaTheme="majorEastAsia" w:hAnsi="Helvetica"/>
              </w:rPr>
              <w:t xml:space="preserve">lated to the </w:t>
            </w:r>
            <w:r w:rsidRPr="008377AE">
              <w:rPr>
                <w:rFonts w:ascii="Helvetica" w:eastAsiaTheme="majorEastAsia" w:hAnsi="Helvetica"/>
              </w:rPr>
              <w:t xml:space="preserve">diabetes type 2 </w:t>
            </w:r>
            <w:r w:rsidR="008377AE">
              <w:rPr>
                <w:rFonts w:ascii="Helvetica" w:eastAsiaTheme="majorEastAsia" w:hAnsi="Helvetica"/>
              </w:rPr>
              <w:t xml:space="preserve">patient pathway </w:t>
            </w:r>
            <w:r w:rsidRPr="008377AE">
              <w:rPr>
                <w:rFonts w:ascii="Helvetica" w:eastAsiaTheme="majorEastAsia" w:hAnsi="Helvetica"/>
              </w:rPr>
              <w:t>(March 2018)</w:t>
            </w:r>
          </w:p>
          <w:p w14:paraId="08F797A0" w14:textId="59A29370" w:rsidR="00EE1B1A" w:rsidRPr="008377AE" w:rsidRDefault="00533323" w:rsidP="008377AE">
            <w:pPr>
              <w:pStyle w:val="ListParagraph"/>
              <w:numPr>
                <w:ilvl w:val="0"/>
                <w:numId w:val="17"/>
              </w:numPr>
              <w:spacing w:after="0"/>
              <w:rPr>
                <w:rFonts w:ascii="Helvetica" w:hAnsi="Helvetica"/>
              </w:rPr>
            </w:pPr>
            <w:r w:rsidRPr="008377AE">
              <w:rPr>
                <w:rFonts w:ascii="Helvetica" w:eastAsiaTheme="majorEastAsia" w:hAnsi="Helvetica"/>
              </w:rPr>
              <w:t xml:space="preserve">Building </w:t>
            </w:r>
            <w:r w:rsidRPr="008377AE">
              <w:rPr>
                <w:rFonts w:ascii="Helvetica" w:hAnsi="Helvetica"/>
              </w:rPr>
              <w:t>c</w:t>
            </w:r>
            <w:r w:rsidR="00EE1B1A" w:rsidRPr="008377AE">
              <w:rPr>
                <w:rFonts w:ascii="Helvetica" w:hAnsi="Helvetica"/>
              </w:rPr>
              <w:t xml:space="preserve">overage and cost scenarios to </w:t>
            </w:r>
            <w:r w:rsidRPr="008377AE">
              <w:rPr>
                <w:rFonts w:ascii="Helvetica" w:hAnsi="Helvetica"/>
              </w:rPr>
              <w:t xml:space="preserve">inform preparation of </w:t>
            </w:r>
            <w:r w:rsidR="00EE1B1A" w:rsidRPr="008377AE">
              <w:rPr>
                <w:rFonts w:ascii="Helvetica" w:hAnsi="Helvetica"/>
              </w:rPr>
              <w:t>implementation strategy</w:t>
            </w:r>
            <w:r w:rsidRPr="008377AE">
              <w:rPr>
                <w:rFonts w:ascii="Helvetica" w:hAnsi="Helvetica"/>
              </w:rPr>
              <w:t xml:space="preserve"> </w:t>
            </w:r>
            <w:r w:rsidR="008377AE">
              <w:rPr>
                <w:rFonts w:ascii="Helvetica" w:hAnsi="Helvetica"/>
              </w:rPr>
              <w:t>for</w:t>
            </w:r>
            <w:r w:rsidRPr="008377AE">
              <w:rPr>
                <w:rFonts w:ascii="Helvetica" w:hAnsi="Helvetica"/>
              </w:rPr>
              <w:t xml:space="preserve"> diabetes type 2 patient pathway (1</w:t>
            </w:r>
            <w:r w:rsidRPr="008377AE">
              <w:rPr>
                <w:rFonts w:ascii="Helvetica" w:hAnsi="Helvetica"/>
                <w:vertAlign w:val="superscript"/>
              </w:rPr>
              <w:t>st</w:t>
            </w:r>
            <w:r w:rsidRPr="008377AE">
              <w:rPr>
                <w:rFonts w:ascii="Helvetica" w:hAnsi="Helvetica"/>
              </w:rPr>
              <w:t xml:space="preserve"> draft April 2018; final version May 2018)</w:t>
            </w:r>
          </w:p>
          <w:p w14:paraId="78434B0C" w14:textId="59F04342" w:rsidR="00EE1B1A" w:rsidRPr="008377AE" w:rsidRDefault="00533323" w:rsidP="008377AE">
            <w:pPr>
              <w:pStyle w:val="ListParagraph"/>
              <w:numPr>
                <w:ilvl w:val="0"/>
                <w:numId w:val="17"/>
              </w:numPr>
              <w:spacing w:after="0"/>
              <w:rPr>
                <w:rFonts w:ascii="Helvetica" w:hAnsi="Helvetica"/>
              </w:rPr>
            </w:pPr>
            <w:r w:rsidRPr="008377AE">
              <w:rPr>
                <w:rFonts w:ascii="Helvetica" w:hAnsi="Helvetica"/>
              </w:rPr>
              <w:t>Identifying o</w:t>
            </w:r>
            <w:r w:rsidR="00EE1B1A" w:rsidRPr="008377AE">
              <w:rPr>
                <w:rFonts w:ascii="Helvetica" w:hAnsi="Helvetica"/>
              </w:rPr>
              <w:t>pportunities to improve the monitoring and reporting system on diabetes management</w:t>
            </w:r>
            <w:r w:rsidRPr="008377AE">
              <w:rPr>
                <w:rFonts w:ascii="Helvetica" w:hAnsi="Helvetica"/>
              </w:rPr>
              <w:t xml:space="preserve"> (May 2018)</w:t>
            </w:r>
          </w:p>
          <w:p w14:paraId="38B54092" w14:textId="4CFF0FF8" w:rsidR="00EE1B1A" w:rsidRPr="008377AE" w:rsidRDefault="00533323" w:rsidP="008377AE">
            <w:pPr>
              <w:pStyle w:val="ListParagraph"/>
              <w:numPr>
                <w:ilvl w:val="0"/>
                <w:numId w:val="17"/>
              </w:numPr>
              <w:spacing w:after="0"/>
              <w:rPr>
                <w:rFonts w:ascii="Helvetica" w:hAnsi="Helvetica"/>
              </w:rPr>
            </w:pPr>
            <w:r w:rsidRPr="008377AE">
              <w:rPr>
                <w:rFonts w:ascii="Helvetica" w:hAnsi="Helvetica"/>
              </w:rPr>
              <w:t>Identifying opportunities to improve electronic patient tracing across all levels of care (May 2018)</w:t>
            </w:r>
          </w:p>
          <w:p w14:paraId="3ED38662" w14:textId="425C3B52" w:rsidR="00A77DC7" w:rsidRPr="008377AE" w:rsidRDefault="001B681D" w:rsidP="008377AE">
            <w:pPr>
              <w:pStyle w:val="ListParagraph"/>
              <w:numPr>
                <w:ilvl w:val="0"/>
                <w:numId w:val="17"/>
              </w:numPr>
              <w:spacing w:after="0"/>
              <w:rPr>
                <w:rFonts w:ascii="Helvetica" w:hAnsi="Helvetica"/>
              </w:rPr>
            </w:pPr>
            <w:r w:rsidRPr="008377AE">
              <w:rPr>
                <w:rFonts w:ascii="Helvetica" w:hAnsi="Helvetica"/>
              </w:rPr>
              <w:t>Developing a</w:t>
            </w:r>
            <w:r w:rsidR="00533323" w:rsidRPr="008377AE">
              <w:rPr>
                <w:rFonts w:ascii="Helvetica" w:hAnsi="Helvetica"/>
              </w:rPr>
              <w:t xml:space="preserve">nalytical report </w:t>
            </w:r>
            <w:r w:rsidRPr="008377AE">
              <w:rPr>
                <w:rFonts w:ascii="Helvetica" w:hAnsi="Helvetica"/>
              </w:rPr>
              <w:t>and roadmap to support implementation of diabetes type 2 patient pathway implementation (outline of the report March 2018, 1</w:t>
            </w:r>
            <w:r w:rsidRPr="008377AE">
              <w:rPr>
                <w:rFonts w:ascii="Helvetica" w:hAnsi="Helvetica"/>
                <w:vertAlign w:val="superscript"/>
              </w:rPr>
              <w:t>st</w:t>
            </w:r>
            <w:r w:rsidRPr="008377AE">
              <w:rPr>
                <w:rFonts w:ascii="Helvetica" w:hAnsi="Helvetica"/>
              </w:rPr>
              <w:t xml:space="preserve"> draft April, final version with roadmap June 2018)</w:t>
            </w:r>
          </w:p>
        </w:tc>
      </w:tr>
      <w:tr w:rsidR="00E64E03" w:rsidRPr="00105492" w14:paraId="2B5475EE" w14:textId="77777777" w:rsidTr="00436C48">
        <w:trPr>
          <w:jc w:val="center"/>
        </w:trPr>
        <w:tc>
          <w:tcPr>
            <w:tcW w:w="970" w:type="pct"/>
          </w:tcPr>
          <w:p w14:paraId="49014CC2" w14:textId="1B65F2EA"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International expert</w:t>
            </w:r>
            <w:r w:rsidR="00413EFD" w:rsidRPr="008377AE">
              <w:rPr>
                <w:rFonts w:ascii="Helvetica" w:eastAsiaTheme="majorEastAsia" w:hAnsi="Helvetica"/>
                <w:b/>
                <w:sz w:val="22"/>
                <w:szCs w:val="22"/>
              </w:rPr>
              <w:t>s</w:t>
            </w:r>
          </w:p>
        </w:tc>
        <w:tc>
          <w:tcPr>
            <w:tcW w:w="4030" w:type="pct"/>
          </w:tcPr>
          <w:p w14:paraId="5A4F98A8" w14:textId="01B5E9DC" w:rsidR="00105492" w:rsidRPr="008377AE" w:rsidRDefault="00413EFD" w:rsidP="008377AE">
            <w:pPr>
              <w:pStyle w:val="ListParagraph"/>
              <w:numPr>
                <w:ilvl w:val="0"/>
                <w:numId w:val="12"/>
              </w:numPr>
              <w:spacing w:after="0"/>
            </w:pPr>
            <w:r w:rsidRPr="008377AE">
              <w:rPr>
                <w:rFonts w:ascii="Helvetica" w:eastAsiaTheme="majorEastAsia" w:hAnsi="Helvetica" w:cs="Times New Roman"/>
              </w:rPr>
              <w:t>Alexandre Louren</w:t>
            </w:r>
            <w:r w:rsidR="00C62BF2" w:rsidRPr="008377AE">
              <w:rPr>
                <w:rFonts w:ascii="Helvetica" w:eastAsiaTheme="majorEastAsia" w:hAnsi="Helvetica" w:cs="Times New Roman"/>
              </w:rPr>
              <w:t>ç</w:t>
            </w:r>
            <w:r w:rsidRPr="008377AE">
              <w:rPr>
                <w:rFonts w:ascii="Helvetica" w:eastAsiaTheme="majorEastAsia" w:hAnsi="Helvetica" w:cs="Times New Roman"/>
              </w:rPr>
              <w:t>o</w:t>
            </w:r>
          </w:p>
          <w:p w14:paraId="51EA79EE" w14:textId="21249A39" w:rsidR="00E64E03" w:rsidRPr="008377AE" w:rsidRDefault="00105492" w:rsidP="008377AE">
            <w:pPr>
              <w:pStyle w:val="ListParagraph"/>
              <w:numPr>
                <w:ilvl w:val="0"/>
                <w:numId w:val="12"/>
              </w:numPr>
              <w:spacing w:after="0"/>
              <w:rPr>
                <w:rFonts w:ascii="Helvetica" w:eastAsiaTheme="majorEastAsia" w:hAnsi="Helvetica" w:cs="Times New Roman"/>
              </w:rPr>
            </w:pPr>
            <w:r w:rsidRPr="008377AE">
              <w:rPr>
                <w:rFonts w:ascii="Helvetica" w:eastAsiaTheme="majorEastAsia" w:hAnsi="Helvetica" w:cs="Times New Roman"/>
              </w:rPr>
              <w:t>Triin Habicht</w:t>
            </w:r>
          </w:p>
        </w:tc>
      </w:tr>
      <w:tr w:rsidR="00E64E03" w:rsidRPr="00105492" w14:paraId="2FA4A8FB" w14:textId="77777777" w:rsidTr="00436C48">
        <w:trPr>
          <w:jc w:val="center"/>
        </w:trPr>
        <w:tc>
          <w:tcPr>
            <w:tcW w:w="970" w:type="pct"/>
          </w:tcPr>
          <w:p w14:paraId="623CF676" w14:textId="03E23226"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National expert</w:t>
            </w:r>
            <w:r w:rsidR="00413EFD" w:rsidRPr="008377AE">
              <w:rPr>
                <w:rFonts w:ascii="Helvetica" w:eastAsiaTheme="majorEastAsia" w:hAnsi="Helvetica"/>
                <w:b/>
                <w:sz w:val="22"/>
                <w:szCs w:val="22"/>
              </w:rPr>
              <w:t>s</w:t>
            </w:r>
          </w:p>
        </w:tc>
        <w:tc>
          <w:tcPr>
            <w:tcW w:w="4030" w:type="pct"/>
          </w:tcPr>
          <w:p w14:paraId="57C80640" w14:textId="3632DE7A" w:rsidR="00E64E03" w:rsidRPr="008377AE" w:rsidRDefault="00304D7E" w:rsidP="008377AE">
            <w:pPr>
              <w:rPr>
                <w:rFonts w:ascii="Helvetica" w:eastAsiaTheme="majorEastAsia" w:hAnsi="Helvetica"/>
                <w:sz w:val="22"/>
                <w:szCs w:val="22"/>
              </w:rPr>
            </w:pPr>
            <w:r w:rsidRPr="008377AE">
              <w:rPr>
                <w:rFonts w:ascii="Helvetica" w:hAnsi="Helvetica"/>
                <w:sz w:val="22"/>
                <w:szCs w:val="22"/>
              </w:rPr>
              <w:t>Working Group established by the MOLHSA</w:t>
            </w:r>
          </w:p>
        </w:tc>
      </w:tr>
      <w:tr w:rsidR="00E64E03" w:rsidRPr="00105492" w14:paraId="47FCA9D0" w14:textId="77777777" w:rsidTr="00436C48">
        <w:trPr>
          <w:jc w:val="center"/>
        </w:trPr>
        <w:tc>
          <w:tcPr>
            <w:tcW w:w="970" w:type="pct"/>
          </w:tcPr>
          <w:p w14:paraId="5AF375F4" w14:textId="2F25C20C"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Cross-cutting issues</w:t>
            </w:r>
          </w:p>
        </w:tc>
        <w:tc>
          <w:tcPr>
            <w:tcW w:w="4030" w:type="pct"/>
          </w:tcPr>
          <w:p w14:paraId="49010A80" w14:textId="1E28B753" w:rsidR="00E64E03" w:rsidRPr="008377AE" w:rsidRDefault="00E64E03" w:rsidP="008377AE">
            <w:pPr>
              <w:rPr>
                <w:rFonts w:ascii="Helvetica" w:eastAsiaTheme="majorEastAsia" w:hAnsi="Helvetica"/>
                <w:sz w:val="22"/>
                <w:szCs w:val="22"/>
              </w:rPr>
            </w:pPr>
            <w:r w:rsidRPr="008377AE">
              <w:rPr>
                <w:rFonts w:ascii="Helvetica" w:eastAsiaTheme="majorEastAsia" w:hAnsi="Helvetica"/>
                <w:sz w:val="22"/>
                <w:szCs w:val="22"/>
              </w:rPr>
              <w:t xml:space="preserve">Links to </w:t>
            </w:r>
            <w:r w:rsidR="00AF002F" w:rsidRPr="008377AE">
              <w:rPr>
                <w:rFonts w:ascii="Helvetica" w:eastAsiaTheme="majorEastAsia" w:hAnsi="Helvetica"/>
                <w:sz w:val="22"/>
                <w:szCs w:val="22"/>
              </w:rPr>
              <w:t>a</w:t>
            </w:r>
            <w:r w:rsidRPr="008377AE">
              <w:rPr>
                <w:rFonts w:ascii="Helvetica" w:eastAsiaTheme="majorEastAsia" w:hAnsi="Helvetica"/>
                <w:sz w:val="22"/>
                <w:szCs w:val="22"/>
              </w:rPr>
              <w:t xml:space="preserve">ctivity </w:t>
            </w:r>
            <w:r w:rsidR="000B51E9" w:rsidRPr="008377AE">
              <w:rPr>
                <w:rFonts w:ascii="Helvetica" w:eastAsiaTheme="majorEastAsia" w:hAnsi="Helvetica"/>
                <w:sz w:val="22"/>
                <w:szCs w:val="22"/>
              </w:rPr>
              <w:t>1</w:t>
            </w:r>
            <w:r w:rsidRPr="008377AE">
              <w:rPr>
                <w:rFonts w:ascii="Helvetica" w:eastAsiaTheme="majorEastAsia" w:hAnsi="Helvetica"/>
                <w:sz w:val="22"/>
                <w:szCs w:val="22"/>
              </w:rPr>
              <w:t xml:space="preserve"> </w:t>
            </w:r>
          </w:p>
        </w:tc>
      </w:tr>
    </w:tbl>
    <w:p w14:paraId="030A647A" w14:textId="77777777" w:rsidR="00E64E03" w:rsidRDefault="00E64E03" w:rsidP="00D62CAF">
      <w:bookmarkStart w:id="5" w:name="_Ref483556112"/>
    </w:p>
    <w:bookmarkEnd w:id="5"/>
    <w:p w14:paraId="7C926FA9" w14:textId="77777777" w:rsidR="00F65293" w:rsidRDefault="00F65293" w:rsidP="00A9538F"/>
    <w:p w14:paraId="45BC2457" w14:textId="77777777" w:rsidR="00C21EA1" w:rsidRPr="00B05061" w:rsidRDefault="00C21EA1" w:rsidP="00A9538F"/>
    <w:sectPr w:rsidR="00C21EA1" w:rsidRPr="00B05061" w:rsidSect="00AA2BD3">
      <w:pgSz w:w="11906" w:h="16838"/>
      <w:pgMar w:top="1152" w:right="1440" w:bottom="1152" w:left="1440" w:header="70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4376" w14:textId="77777777" w:rsidR="00D8046C" w:rsidRDefault="00D8046C" w:rsidP="00D77DB2">
      <w:r>
        <w:separator/>
      </w:r>
    </w:p>
  </w:endnote>
  <w:endnote w:type="continuationSeparator" w:id="0">
    <w:p w14:paraId="1C191472" w14:textId="77777777" w:rsidR="00D8046C" w:rsidRDefault="00D8046C" w:rsidP="00D7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83074"/>
      <w:docPartObj>
        <w:docPartGallery w:val="Page Numbers (Bottom of Page)"/>
        <w:docPartUnique/>
      </w:docPartObj>
    </w:sdtPr>
    <w:sdtEndPr>
      <w:rPr>
        <w:noProof/>
      </w:rPr>
    </w:sdtEndPr>
    <w:sdtContent>
      <w:p w14:paraId="7713F09E" w14:textId="77777777" w:rsidR="00EF2846" w:rsidRDefault="00EF2846">
        <w:pPr>
          <w:pStyle w:val="Footer"/>
          <w:jc w:val="center"/>
        </w:pPr>
        <w:r>
          <w:fldChar w:fldCharType="begin"/>
        </w:r>
        <w:r>
          <w:instrText xml:space="preserve"> PAGE   \* MERGEFORMAT </w:instrText>
        </w:r>
        <w:r>
          <w:fldChar w:fldCharType="separate"/>
        </w:r>
        <w:r w:rsidR="00F8478C">
          <w:rPr>
            <w:noProof/>
          </w:rPr>
          <w:t>1</w:t>
        </w:r>
        <w:r>
          <w:rPr>
            <w:noProof/>
          </w:rPr>
          <w:fldChar w:fldCharType="end"/>
        </w:r>
      </w:p>
    </w:sdtContent>
  </w:sdt>
  <w:p w14:paraId="5302D4E9" w14:textId="77777777" w:rsidR="00EF2846" w:rsidRDefault="00EF2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45996"/>
      <w:docPartObj>
        <w:docPartGallery w:val="Page Numbers (Bottom of Page)"/>
        <w:docPartUnique/>
      </w:docPartObj>
    </w:sdtPr>
    <w:sdtEndPr>
      <w:rPr>
        <w:noProof/>
      </w:rPr>
    </w:sdtEndPr>
    <w:sdtContent>
      <w:p w14:paraId="47929470" w14:textId="331C9A41" w:rsidR="00007E10" w:rsidRDefault="00007E10">
        <w:pPr>
          <w:pStyle w:val="Footer"/>
          <w:jc w:val="center"/>
        </w:pPr>
        <w:r>
          <w:fldChar w:fldCharType="begin"/>
        </w:r>
        <w:r>
          <w:instrText xml:space="preserve"> PAGE   \* MERGEFORMAT </w:instrText>
        </w:r>
        <w:r>
          <w:fldChar w:fldCharType="separate"/>
        </w:r>
        <w:r w:rsidR="00F8478C">
          <w:rPr>
            <w:noProof/>
          </w:rPr>
          <w:t>2</w:t>
        </w:r>
        <w:r>
          <w:rPr>
            <w:noProof/>
          </w:rPr>
          <w:fldChar w:fldCharType="end"/>
        </w:r>
      </w:p>
    </w:sdtContent>
  </w:sdt>
  <w:p w14:paraId="50068308" w14:textId="77777777" w:rsidR="00007E10" w:rsidRDefault="00007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B1AA9" w14:textId="77777777" w:rsidR="00D8046C" w:rsidRDefault="00D8046C" w:rsidP="00D77DB2">
      <w:r>
        <w:separator/>
      </w:r>
    </w:p>
  </w:footnote>
  <w:footnote w:type="continuationSeparator" w:id="0">
    <w:p w14:paraId="6DB0C546" w14:textId="77777777" w:rsidR="00D8046C" w:rsidRDefault="00D8046C" w:rsidP="00D7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6BE63C5"/>
    <w:multiLevelType w:val="hybridMultilevel"/>
    <w:tmpl w:val="4BAA4B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8950F6"/>
    <w:multiLevelType w:val="hybridMultilevel"/>
    <w:tmpl w:val="79A2A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E44FA5"/>
    <w:multiLevelType w:val="hybridMultilevel"/>
    <w:tmpl w:val="56AC5AF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E255AF"/>
    <w:multiLevelType w:val="hybridMultilevel"/>
    <w:tmpl w:val="E7CC17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A23F2B"/>
    <w:multiLevelType w:val="hybridMultilevel"/>
    <w:tmpl w:val="7C7C22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A84D0F"/>
    <w:multiLevelType w:val="hybridMultilevel"/>
    <w:tmpl w:val="32E025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EAF4508"/>
    <w:multiLevelType w:val="hybridMultilevel"/>
    <w:tmpl w:val="042430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5B7542"/>
    <w:multiLevelType w:val="hybridMultilevel"/>
    <w:tmpl w:val="511E5D9E"/>
    <w:lvl w:ilvl="0" w:tplc="ED22B160">
      <w:start w:val="1"/>
      <w:numFmt w:val="bullet"/>
      <w:pStyle w:val="STdefault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CA327B"/>
    <w:multiLevelType w:val="hybridMultilevel"/>
    <w:tmpl w:val="A8E4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3682C84"/>
    <w:multiLevelType w:val="hybridMultilevel"/>
    <w:tmpl w:val="FC5E39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E9E4860"/>
    <w:multiLevelType w:val="hybridMultilevel"/>
    <w:tmpl w:val="A454A0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6"/>
  </w:num>
  <w:num w:numId="4">
    <w:abstractNumId w:val="1"/>
  </w:num>
  <w:num w:numId="5">
    <w:abstractNumId w:val="15"/>
  </w:num>
  <w:num w:numId="6">
    <w:abstractNumId w:val="3"/>
  </w:num>
  <w:num w:numId="7">
    <w:abstractNumId w:val="16"/>
  </w:num>
  <w:num w:numId="8">
    <w:abstractNumId w:val="13"/>
  </w:num>
  <w:num w:numId="9">
    <w:abstractNumId w:val="5"/>
  </w:num>
  <w:num w:numId="10">
    <w:abstractNumId w:val="8"/>
  </w:num>
  <w:num w:numId="11">
    <w:abstractNumId w:val="14"/>
  </w:num>
  <w:num w:numId="12">
    <w:abstractNumId w:val="10"/>
  </w:num>
  <w:num w:numId="13">
    <w:abstractNumId w:val="4"/>
  </w:num>
  <w:num w:numId="14">
    <w:abstractNumId w:val="7"/>
  </w:num>
  <w:num w:numId="15">
    <w:abstractNumId w:val="17"/>
  </w:num>
  <w:num w:numId="16">
    <w:abstractNumId w:val="12"/>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2F"/>
    <w:rsid w:val="00004889"/>
    <w:rsid w:val="00007E10"/>
    <w:rsid w:val="000145D5"/>
    <w:rsid w:val="00016317"/>
    <w:rsid w:val="000220B4"/>
    <w:rsid w:val="00022B6A"/>
    <w:rsid w:val="00031703"/>
    <w:rsid w:val="00035FB3"/>
    <w:rsid w:val="00040B9C"/>
    <w:rsid w:val="0004126E"/>
    <w:rsid w:val="00045B54"/>
    <w:rsid w:val="000471E2"/>
    <w:rsid w:val="00060911"/>
    <w:rsid w:val="000626A0"/>
    <w:rsid w:val="000647D9"/>
    <w:rsid w:val="000652C5"/>
    <w:rsid w:val="00070898"/>
    <w:rsid w:val="000770A4"/>
    <w:rsid w:val="00084AFD"/>
    <w:rsid w:val="00084B5C"/>
    <w:rsid w:val="00086F78"/>
    <w:rsid w:val="000A4956"/>
    <w:rsid w:val="000A7372"/>
    <w:rsid w:val="000A7CFD"/>
    <w:rsid w:val="000B5162"/>
    <w:rsid w:val="000B51E9"/>
    <w:rsid w:val="000C1C2C"/>
    <w:rsid w:val="000C380E"/>
    <w:rsid w:val="000C4A55"/>
    <w:rsid w:val="000D03F1"/>
    <w:rsid w:val="000D1827"/>
    <w:rsid w:val="000D2A2C"/>
    <w:rsid w:val="000D2B08"/>
    <w:rsid w:val="000D778D"/>
    <w:rsid w:val="000E29FD"/>
    <w:rsid w:val="000E2BFA"/>
    <w:rsid w:val="000E4864"/>
    <w:rsid w:val="000E6A09"/>
    <w:rsid w:val="000F4C55"/>
    <w:rsid w:val="000F4D65"/>
    <w:rsid w:val="000F5C41"/>
    <w:rsid w:val="000F66ED"/>
    <w:rsid w:val="000F683A"/>
    <w:rsid w:val="00105492"/>
    <w:rsid w:val="00107A14"/>
    <w:rsid w:val="00110833"/>
    <w:rsid w:val="00111021"/>
    <w:rsid w:val="00111DED"/>
    <w:rsid w:val="00112A74"/>
    <w:rsid w:val="001145E0"/>
    <w:rsid w:val="001149A7"/>
    <w:rsid w:val="00120595"/>
    <w:rsid w:val="00124F4D"/>
    <w:rsid w:val="00125C03"/>
    <w:rsid w:val="001306B9"/>
    <w:rsid w:val="00131A8F"/>
    <w:rsid w:val="00135959"/>
    <w:rsid w:val="00135F5E"/>
    <w:rsid w:val="001438F4"/>
    <w:rsid w:val="0014428A"/>
    <w:rsid w:val="0014570D"/>
    <w:rsid w:val="00151DC9"/>
    <w:rsid w:val="00153414"/>
    <w:rsid w:val="00154FC3"/>
    <w:rsid w:val="0015625C"/>
    <w:rsid w:val="00167F76"/>
    <w:rsid w:val="00172514"/>
    <w:rsid w:val="0017271A"/>
    <w:rsid w:val="00173AC1"/>
    <w:rsid w:val="001845D6"/>
    <w:rsid w:val="001860CD"/>
    <w:rsid w:val="00187C82"/>
    <w:rsid w:val="00194F37"/>
    <w:rsid w:val="00196FF3"/>
    <w:rsid w:val="001974AB"/>
    <w:rsid w:val="001A16B7"/>
    <w:rsid w:val="001A1919"/>
    <w:rsid w:val="001A6509"/>
    <w:rsid w:val="001B2E52"/>
    <w:rsid w:val="001B4748"/>
    <w:rsid w:val="001B681D"/>
    <w:rsid w:val="001C1CB8"/>
    <w:rsid w:val="001C2487"/>
    <w:rsid w:val="001D1D4C"/>
    <w:rsid w:val="001D5069"/>
    <w:rsid w:val="001D7060"/>
    <w:rsid w:val="001D77A5"/>
    <w:rsid w:val="001E4F5E"/>
    <w:rsid w:val="001E54A3"/>
    <w:rsid w:val="001E550A"/>
    <w:rsid w:val="001E5F14"/>
    <w:rsid w:val="001F1F8F"/>
    <w:rsid w:val="001F625C"/>
    <w:rsid w:val="00202537"/>
    <w:rsid w:val="00211C81"/>
    <w:rsid w:val="002177BD"/>
    <w:rsid w:val="00221603"/>
    <w:rsid w:val="0022653F"/>
    <w:rsid w:val="002270C5"/>
    <w:rsid w:val="00230A62"/>
    <w:rsid w:val="00233E97"/>
    <w:rsid w:val="00234F3B"/>
    <w:rsid w:val="002366F0"/>
    <w:rsid w:val="0024059B"/>
    <w:rsid w:val="00241924"/>
    <w:rsid w:val="0024696C"/>
    <w:rsid w:val="00247017"/>
    <w:rsid w:val="00252575"/>
    <w:rsid w:val="002528F9"/>
    <w:rsid w:val="00255101"/>
    <w:rsid w:val="00255309"/>
    <w:rsid w:val="0025723E"/>
    <w:rsid w:val="00261967"/>
    <w:rsid w:val="0026556A"/>
    <w:rsid w:val="00265A2D"/>
    <w:rsid w:val="00266270"/>
    <w:rsid w:val="00266D21"/>
    <w:rsid w:val="00272AFB"/>
    <w:rsid w:val="002800B4"/>
    <w:rsid w:val="002814E3"/>
    <w:rsid w:val="00281B0E"/>
    <w:rsid w:val="00283978"/>
    <w:rsid w:val="0028598E"/>
    <w:rsid w:val="0028714B"/>
    <w:rsid w:val="002946EF"/>
    <w:rsid w:val="0029514B"/>
    <w:rsid w:val="00295A52"/>
    <w:rsid w:val="002A2BF6"/>
    <w:rsid w:val="002A41F7"/>
    <w:rsid w:val="002A4C98"/>
    <w:rsid w:val="002B16DA"/>
    <w:rsid w:val="002B4C90"/>
    <w:rsid w:val="002B5458"/>
    <w:rsid w:val="002B66D8"/>
    <w:rsid w:val="002B7098"/>
    <w:rsid w:val="002C65EB"/>
    <w:rsid w:val="002C6806"/>
    <w:rsid w:val="002D242A"/>
    <w:rsid w:val="002D2927"/>
    <w:rsid w:val="002D67AD"/>
    <w:rsid w:val="002D797F"/>
    <w:rsid w:val="002D7992"/>
    <w:rsid w:val="002E0A61"/>
    <w:rsid w:val="002E12FB"/>
    <w:rsid w:val="002F103A"/>
    <w:rsid w:val="002F16C9"/>
    <w:rsid w:val="002F5715"/>
    <w:rsid w:val="003034C3"/>
    <w:rsid w:val="003036E7"/>
    <w:rsid w:val="00304D7E"/>
    <w:rsid w:val="0031565A"/>
    <w:rsid w:val="00315809"/>
    <w:rsid w:val="00322596"/>
    <w:rsid w:val="00332552"/>
    <w:rsid w:val="00332607"/>
    <w:rsid w:val="003465DA"/>
    <w:rsid w:val="00360994"/>
    <w:rsid w:val="00362186"/>
    <w:rsid w:val="0036353B"/>
    <w:rsid w:val="003839F8"/>
    <w:rsid w:val="00386ED4"/>
    <w:rsid w:val="00387052"/>
    <w:rsid w:val="00390521"/>
    <w:rsid w:val="003948DF"/>
    <w:rsid w:val="003A3BC6"/>
    <w:rsid w:val="003A44BF"/>
    <w:rsid w:val="003A6524"/>
    <w:rsid w:val="003B19F7"/>
    <w:rsid w:val="003B2581"/>
    <w:rsid w:val="003B2C21"/>
    <w:rsid w:val="003B6DF7"/>
    <w:rsid w:val="003C5F80"/>
    <w:rsid w:val="003C6372"/>
    <w:rsid w:val="003D0962"/>
    <w:rsid w:val="003D0B7C"/>
    <w:rsid w:val="003D1B49"/>
    <w:rsid w:val="003D5051"/>
    <w:rsid w:val="003D6757"/>
    <w:rsid w:val="003D6896"/>
    <w:rsid w:val="003D7082"/>
    <w:rsid w:val="003D7332"/>
    <w:rsid w:val="003E009D"/>
    <w:rsid w:val="003E18DC"/>
    <w:rsid w:val="003E4373"/>
    <w:rsid w:val="003F2619"/>
    <w:rsid w:val="003F5003"/>
    <w:rsid w:val="00402777"/>
    <w:rsid w:val="00403FE7"/>
    <w:rsid w:val="0040488A"/>
    <w:rsid w:val="00405F58"/>
    <w:rsid w:val="00406E51"/>
    <w:rsid w:val="0040788F"/>
    <w:rsid w:val="00411984"/>
    <w:rsid w:val="00413B55"/>
    <w:rsid w:val="00413EFD"/>
    <w:rsid w:val="00414641"/>
    <w:rsid w:val="0042509F"/>
    <w:rsid w:val="00436C48"/>
    <w:rsid w:val="0043780C"/>
    <w:rsid w:val="00445745"/>
    <w:rsid w:val="00447CE5"/>
    <w:rsid w:val="00451E64"/>
    <w:rsid w:val="00467FE8"/>
    <w:rsid w:val="00470078"/>
    <w:rsid w:val="00474FA4"/>
    <w:rsid w:val="004836FE"/>
    <w:rsid w:val="004938D3"/>
    <w:rsid w:val="0049466B"/>
    <w:rsid w:val="00497536"/>
    <w:rsid w:val="004A4F60"/>
    <w:rsid w:val="004D1AA7"/>
    <w:rsid w:val="004D27A6"/>
    <w:rsid w:val="004D2ACC"/>
    <w:rsid w:val="004D6522"/>
    <w:rsid w:val="004E43CB"/>
    <w:rsid w:val="004F0FB1"/>
    <w:rsid w:val="004F5382"/>
    <w:rsid w:val="004F6C78"/>
    <w:rsid w:val="004F6FD2"/>
    <w:rsid w:val="004F7C53"/>
    <w:rsid w:val="00504DFE"/>
    <w:rsid w:val="00505833"/>
    <w:rsid w:val="00505B97"/>
    <w:rsid w:val="00515B65"/>
    <w:rsid w:val="00523449"/>
    <w:rsid w:val="00525AC7"/>
    <w:rsid w:val="00533323"/>
    <w:rsid w:val="005361BE"/>
    <w:rsid w:val="005459C7"/>
    <w:rsid w:val="005529E6"/>
    <w:rsid w:val="00553437"/>
    <w:rsid w:val="0056079A"/>
    <w:rsid w:val="00564A72"/>
    <w:rsid w:val="00565DBC"/>
    <w:rsid w:val="00570701"/>
    <w:rsid w:val="0057096F"/>
    <w:rsid w:val="00570D35"/>
    <w:rsid w:val="00582ADC"/>
    <w:rsid w:val="00584893"/>
    <w:rsid w:val="005867AF"/>
    <w:rsid w:val="0058769F"/>
    <w:rsid w:val="00587A7C"/>
    <w:rsid w:val="005938DE"/>
    <w:rsid w:val="0059397B"/>
    <w:rsid w:val="00595171"/>
    <w:rsid w:val="00595C02"/>
    <w:rsid w:val="0059768C"/>
    <w:rsid w:val="005A44A6"/>
    <w:rsid w:val="005B31F0"/>
    <w:rsid w:val="005B5E48"/>
    <w:rsid w:val="005C1E53"/>
    <w:rsid w:val="005C205A"/>
    <w:rsid w:val="005C2095"/>
    <w:rsid w:val="005C2AB4"/>
    <w:rsid w:val="005C4889"/>
    <w:rsid w:val="005C5FC9"/>
    <w:rsid w:val="005E27B9"/>
    <w:rsid w:val="005E359A"/>
    <w:rsid w:val="005E41A7"/>
    <w:rsid w:val="005E41AB"/>
    <w:rsid w:val="005E7179"/>
    <w:rsid w:val="005F0CCF"/>
    <w:rsid w:val="00604CE5"/>
    <w:rsid w:val="0060778C"/>
    <w:rsid w:val="00607884"/>
    <w:rsid w:val="006125E3"/>
    <w:rsid w:val="006271E0"/>
    <w:rsid w:val="00631625"/>
    <w:rsid w:val="006331A1"/>
    <w:rsid w:val="00636B11"/>
    <w:rsid w:val="0064254E"/>
    <w:rsid w:val="00645E6A"/>
    <w:rsid w:val="00651DEE"/>
    <w:rsid w:val="006536C2"/>
    <w:rsid w:val="00653C88"/>
    <w:rsid w:val="00660F87"/>
    <w:rsid w:val="00661D00"/>
    <w:rsid w:val="00664C61"/>
    <w:rsid w:val="0067019E"/>
    <w:rsid w:val="00676011"/>
    <w:rsid w:val="006764B6"/>
    <w:rsid w:val="006769F7"/>
    <w:rsid w:val="00684FB0"/>
    <w:rsid w:val="0069587A"/>
    <w:rsid w:val="006A3674"/>
    <w:rsid w:val="006A48CD"/>
    <w:rsid w:val="006A63C8"/>
    <w:rsid w:val="006A6607"/>
    <w:rsid w:val="006B0A16"/>
    <w:rsid w:val="006B453A"/>
    <w:rsid w:val="006B5969"/>
    <w:rsid w:val="006C1BF9"/>
    <w:rsid w:val="006C3E62"/>
    <w:rsid w:val="006D321C"/>
    <w:rsid w:val="006D3D33"/>
    <w:rsid w:val="006E704F"/>
    <w:rsid w:val="006F0AEC"/>
    <w:rsid w:val="006F40BA"/>
    <w:rsid w:val="007016C1"/>
    <w:rsid w:val="00702678"/>
    <w:rsid w:val="007060C9"/>
    <w:rsid w:val="0070777A"/>
    <w:rsid w:val="00710AC4"/>
    <w:rsid w:val="007203F0"/>
    <w:rsid w:val="00723960"/>
    <w:rsid w:val="00727DAF"/>
    <w:rsid w:val="0073187D"/>
    <w:rsid w:val="007334D5"/>
    <w:rsid w:val="007358C5"/>
    <w:rsid w:val="00743FA3"/>
    <w:rsid w:val="00751765"/>
    <w:rsid w:val="00762498"/>
    <w:rsid w:val="0076353C"/>
    <w:rsid w:val="0077279B"/>
    <w:rsid w:val="007741D7"/>
    <w:rsid w:val="007753C5"/>
    <w:rsid w:val="00784518"/>
    <w:rsid w:val="0078569B"/>
    <w:rsid w:val="0078639F"/>
    <w:rsid w:val="00786D40"/>
    <w:rsid w:val="0079031D"/>
    <w:rsid w:val="007935C2"/>
    <w:rsid w:val="00794C67"/>
    <w:rsid w:val="00796410"/>
    <w:rsid w:val="00797219"/>
    <w:rsid w:val="00797871"/>
    <w:rsid w:val="007A0614"/>
    <w:rsid w:val="007A2605"/>
    <w:rsid w:val="007B0266"/>
    <w:rsid w:val="007B73DE"/>
    <w:rsid w:val="007C5FC9"/>
    <w:rsid w:val="007D0FC1"/>
    <w:rsid w:val="007D5EC6"/>
    <w:rsid w:val="007D7AEB"/>
    <w:rsid w:val="007E1B1C"/>
    <w:rsid w:val="007E27B9"/>
    <w:rsid w:val="007E715B"/>
    <w:rsid w:val="00804A25"/>
    <w:rsid w:val="00804FD1"/>
    <w:rsid w:val="0081261F"/>
    <w:rsid w:val="0082011B"/>
    <w:rsid w:val="00820254"/>
    <w:rsid w:val="00821F3B"/>
    <w:rsid w:val="00822D93"/>
    <w:rsid w:val="00825D14"/>
    <w:rsid w:val="00826018"/>
    <w:rsid w:val="00832A45"/>
    <w:rsid w:val="00833917"/>
    <w:rsid w:val="00834AD1"/>
    <w:rsid w:val="008376A6"/>
    <w:rsid w:val="008377AE"/>
    <w:rsid w:val="00840400"/>
    <w:rsid w:val="008408F4"/>
    <w:rsid w:val="0084302A"/>
    <w:rsid w:val="00851B63"/>
    <w:rsid w:val="00852A82"/>
    <w:rsid w:val="00852F84"/>
    <w:rsid w:val="00863D3E"/>
    <w:rsid w:val="00864311"/>
    <w:rsid w:val="008651DF"/>
    <w:rsid w:val="008672A9"/>
    <w:rsid w:val="0087234F"/>
    <w:rsid w:val="008743BE"/>
    <w:rsid w:val="00891BCE"/>
    <w:rsid w:val="0089344B"/>
    <w:rsid w:val="008951B1"/>
    <w:rsid w:val="0089616A"/>
    <w:rsid w:val="00896C9C"/>
    <w:rsid w:val="008A1BB1"/>
    <w:rsid w:val="008A1F50"/>
    <w:rsid w:val="008A52B9"/>
    <w:rsid w:val="008A5681"/>
    <w:rsid w:val="008A6785"/>
    <w:rsid w:val="008A6C18"/>
    <w:rsid w:val="008B0B41"/>
    <w:rsid w:val="008B4C78"/>
    <w:rsid w:val="008C0AF1"/>
    <w:rsid w:val="008C35ED"/>
    <w:rsid w:val="008D02E5"/>
    <w:rsid w:val="008D3AF9"/>
    <w:rsid w:val="008D3CCF"/>
    <w:rsid w:val="008E320D"/>
    <w:rsid w:val="008E7B5F"/>
    <w:rsid w:val="008F03F6"/>
    <w:rsid w:val="008F0C3D"/>
    <w:rsid w:val="008F1E98"/>
    <w:rsid w:val="008F422F"/>
    <w:rsid w:val="009106FE"/>
    <w:rsid w:val="00911687"/>
    <w:rsid w:val="009149E0"/>
    <w:rsid w:val="00915DF1"/>
    <w:rsid w:val="00920F72"/>
    <w:rsid w:val="0092115E"/>
    <w:rsid w:val="00921EF6"/>
    <w:rsid w:val="0092462E"/>
    <w:rsid w:val="00924753"/>
    <w:rsid w:val="00926E95"/>
    <w:rsid w:val="00943DEC"/>
    <w:rsid w:val="0094707D"/>
    <w:rsid w:val="00950322"/>
    <w:rsid w:val="009553E2"/>
    <w:rsid w:val="0095691C"/>
    <w:rsid w:val="00960C8F"/>
    <w:rsid w:val="00960F8D"/>
    <w:rsid w:val="009634E1"/>
    <w:rsid w:val="00965525"/>
    <w:rsid w:val="00971E4F"/>
    <w:rsid w:val="00973FF4"/>
    <w:rsid w:val="00974E05"/>
    <w:rsid w:val="00990E7B"/>
    <w:rsid w:val="00991575"/>
    <w:rsid w:val="0099448A"/>
    <w:rsid w:val="009B7447"/>
    <w:rsid w:val="009B7765"/>
    <w:rsid w:val="009C4365"/>
    <w:rsid w:val="009C49A1"/>
    <w:rsid w:val="009D04D3"/>
    <w:rsid w:val="009D266F"/>
    <w:rsid w:val="009D4924"/>
    <w:rsid w:val="009D4EAC"/>
    <w:rsid w:val="009D7272"/>
    <w:rsid w:val="009E357B"/>
    <w:rsid w:val="009E55C8"/>
    <w:rsid w:val="009F0D12"/>
    <w:rsid w:val="00A067C4"/>
    <w:rsid w:val="00A10562"/>
    <w:rsid w:val="00A15EB0"/>
    <w:rsid w:val="00A2373D"/>
    <w:rsid w:val="00A23C3D"/>
    <w:rsid w:val="00A23F4D"/>
    <w:rsid w:val="00A260C4"/>
    <w:rsid w:val="00A27BD1"/>
    <w:rsid w:val="00A35B63"/>
    <w:rsid w:val="00A40EE2"/>
    <w:rsid w:val="00A41CDB"/>
    <w:rsid w:val="00A44BA5"/>
    <w:rsid w:val="00A451F6"/>
    <w:rsid w:val="00A46F83"/>
    <w:rsid w:val="00A52263"/>
    <w:rsid w:val="00A61CA9"/>
    <w:rsid w:val="00A6498E"/>
    <w:rsid w:val="00A73E77"/>
    <w:rsid w:val="00A75841"/>
    <w:rsid w:val="00A76579"/>
    <w:rsid w:val="00A77DC7"/>
    <w:rsid w:val="00A80C4C"/>
    <w:rsid w:val="00A858E4"/>
    <w:rsid w:val="00A85D4B"/>
    <w:rsid w:val="00A927C2"/>
    <w:rsid w:val="00A9481C"/>
    <w:rsid w:val="00A94D0B"/>
    <w:rsid w:val="00A9538F"/>
    <w:rsid w:val="00A97788"/>
    <w:rsid w:val="00AA12A7"/>
    <w:rsid w:val="00AA1F91"/>
    <w:rsid w:val="00AA2BD3"/>
    <w:rsid w:val="00AA3D00"/>
    <w:rsid w:val="00AA3E88"/>
    <w:rsid w:val="00AA6D3D"/>
    <w:rsid w:val="00AC0DA8"/>
    <w:rsid w:val="00AC2E5B"/>
    <w:rsid w:val="00AC5ED2"/>
    <w:rsid w:val="00AC681C"/>
    <w:rsid w:val="00AD1CBB"/>
    <w:rsid w:val="00AD3D96"/>
    <w:rsid w:val="00AD46E8"/>
    <w:rsid w:val="00AD4794"/>
    <w:rsid w:val="00AD4DF3"/>
    <w:rsid w:val="00AD649A"/>
    <w:rsid w:val="00AD6806"/>
    <w:rsid w:val="00AE05FE"/>
    <w:rsid w:val="00AE1953"/>
    <w:rsid w:val="00AE27C4"/>
    <w:rsid w:val="00AE5689"/>
    <w:rsid w:val="00AE5D19"/>
    <w:rsid w:val="00AE66D9"/>
    <w:rsid w:val="00AF002F"/>
    <w:rsid w:val="00AF0D70"/>
    <w:rsid w:val="00B04B4D"/>
    <w:rsid w:val="00B05061"/>
    <w:rsid w:val="00B10AA1"/>
    <w:rsid w:val="00B121A5"/>
    <w:rsid w:val="00B15419"/>
    <w:rsid w:val="00B40DDB"/>
    <w:rsid w:val="00B44D6D"/>
    <w:rsid w:val="00B51FD0"/>
    <w:rsid w:val="00B528C9"/>
    <w:rsid w:val="00B54F01"/>
    <w:rsid w:val="00B56776"/>
    <w:rsid w:val="00B61448"/>
    <w:rsid w:val="00B61899"/>
    <w:rsid w:val="00B65A08"/>
    <w:rsid w:val="00B660C6"/>
    <w:rsid w:val="00B66475"/>
    <w:rsid w:val="00B6748F"/>
    <w:rsid w:val="00B749D6"/>
    <w:rsid w:val="00B81018"/>
    <w:rsid w:val="00B841AA"/>
    <w:rsid w:val="00B85B3E"/>
    <w:rsid w:val="00B87F90"/>
    <w:rsid w:val="00B92E24"/>
    <w:rsid w:val="00B94BC5"/>
    <w:rsid w:val="00BA020E"/>
    <w:rsid w:val="00BA4C5F"/>
    <w:rsid w:val="00BB145F"/>
    <w:rsid w:val="00BB2E47"/>
    <w:rsid w:val="00BB4068"/>
    <w:rsid w:val="00BC0757"/>
    <w:rsid w:val="00BC3C20"/>
    <w:rsid w:val="00BC6F1C"/>
    <w:rsid w:val="00BD453B"/>
    <w:rsid w:val="00BE0532"/>
    <w:rsid w:val="00BE3A0A"/>
    <w:rsid w:val="00BF0305"/>
    <w:rsid w:val="00BF0807"/>
    <w:rsid w:val="00BF5AE8"/>
    <w:rsid w:val="00C0125E"/>
    <w:rsid w:val="00C02C08"/>
    <w:rsid w:val="00C0627A"/>
    <w:rsid w:val="00C06B03"/>
    <w:rsid w:val="00C0728F"/>
    <w:rsid w:val="00C07B08"/>
    <w:rsid w:val="00C21181"/>
    <w:rsid w:val="00C21EA1"/>
    <w:rsid w:val="00C261C6"/>
    <w:rsid w:val="00C30A73"/>
    <w:rsid w:val="00C30E35"/>
    <w:rsid w:val="00C359B6"/>
    <w:rsid w:val="00C36A94"/>
    <w:rsid w:val="00C44AF6"/>
    <w:rsid w:val="00C47009"/>
    <w:rsid w:val="00C51326"/>
    <w:rsid w:val="00C55983"/>
    <w:rsid w:val="00C56240"/>
    <w:rsid w:val="00C5715B"/>
    <w:rsid w:val="00C6074D"/>
    <w:rsid w:val="00C62BF2"/>
    <w:rsid w:val="00C71127"/>
    <w:rsid w:val="00C72533"/>
    <w:rsid w:val="00C8170F"/>
    <w:rsid w:val="00C83485"/>
    <w:rsid w:val="00C9471C"/>
    <w:rsid w:val="00C977BC"/>
    <w:rsid w:val="00CA0CE1"/>
    <w:rsid w:val="00CA5FE4"/>
    <w:rsid w:val="00CA62C4"/>
    <w:rsid w:val="00CB6175"/>
    <w:rsid w:val="00CB6942"/>
    <w:rsid w:val="00CC3DA6"/>
    <w:rsid w:val="00CC65A1"/>
    <w:rsid w:val="00CD218B"/>
    <w:rsid w:val="00CD49DC"/>
    <w:rsid w:val="00CD6C41"/>
    <w:rsid w:val="00CE0C0E"/>
    <w:rsid w:val="00CE0F57"/>
    <w:rsid w:val="00CE3411"/>
    <w:rsid w:val="00CE354B"/>
    <w:rsid w:val="00CE44E4"/>
    <w:rsid w:val="00CF217D"/>
    <w:rsid w:val="00CF2935"/>
    <w:rsid w:val="00CF2E18"/>
    <w:rsid w:val="00CF6663"/>
    <w:rsid w:val="00CF6953"/>
    <w:rsid w:val="00CF76E2"/>
    <w:rsid w:val="00D02411"/>
    <w:rsid w:val="00D02501"/>
    <w:rsid w:val="00D0278F"/>
    <w:rsid w:val="00D05CA5"/>
    <w:rsid w:val="00D06539"/>
    <w:rsid w:val="00D10CAB"/>
    <w:rsid w:val="00D2071D"/>
    <w:rsid w:val="00D335AC"/>
    <w:rsid w:val="00D34D5E"/>
    <w:rsid w:val="00D36053"/>
    <w:rsid w:val="00D36555"/>
    <w:rsid w:val="00D46FC9"/>
    <w:rsid w:val="00D55BC5"/>
    <w:rsid w:val="00D5606D"/>
    <w:rsid w:val="00D62CAF"/>
    <w:rsid w:val="00D638C4"/>
    <w:rsid w:val="00D643C0"/>
    <w:rsid w:val="00D6784E"/>
    <w:rsid w:val="00D721F8"/>
    <w:rsid w:val="00D7400E"/>
    <w:rsid w:val="00D7498E"/>
    <w:rsid w:val="00D74FCE"/>
    <w:rsid w:val="00D7503D"/>
    <w:rsid w:val="00D77DB2"/>
    <w:rsid w:val="00D8046C"/>
    <w:rsid w:val="00D812CD"/>
    <w:rsid w:val="00D814B7"/>
    <w:rsid w:val="00D8640D"/>
    <w:rsid w:val="00D940B8"/>
    <w:rsid w:val="00D972AE"/>
    <w:rsid w:val="00D97517"/>
    <w:rsid w:val="00DA2841"/>
    <w:rsid w:val="00DA4631"/>
    <w:rsid w:val="00DA635F"/>
    <w:rsid w:val="00DB082D"/>
    <w:rsid w:val="00DB378B"/>
    <w:rsid w:val="00DB4926"/>
    <w:rsid w:val="00DB7845"/>
    <w:rsid w:val="00DC25B9"/>
    <w:rsid w:val="00DC7B9B"/>
    <w:rsid w:val="00DD0130"/>
    <w:rsid w:val="00DE1A06"/>
    <w:rsid w:val="00DE26E4"/>
    <w:rsid w:val="00DF0F79"/>
    <w:rsid w:val="00DF1D93"/>
    <w:rsid w:val="00E024DF"/>
    <w:rsid w:val="00E07EBA"/>
    <w:rsid w:val="00E22259"/>
    <w:rsid w:val="00E23E7A"/>
    <w:rsid w:val="00E2405D"/>
    <w:rsid w:val="00E24D42"/>
    <w:rsid w:val="00E27739"/>
    <w:rsid w:val="00E35384"/>
    <w:rsid w:val="00E36A71"/>
    <w:rsid w:val="00E45A12"/>
    <w:rsid w:val="00E51563"/>
    <w:rsid w:val="00E51B2E"/>
    <w:rsid w:val="00E5238B"/>
    <w:rsid w:val="00E523A2"/>
    <w:rsid w:val="00E5508F"/>
    <w:rsid w:val="00E6262D"/>
    <w:rsid w:val="00E64E03"/>
    <w:rsid w:val="00E6506A"/>
    <w:rsid w:val="00E67AAD"/>
    <w:rsid w:val="00E71F8D"/>
    <w:rsid w:val="00E836B6"/>
    <w:rsid w:val="00E9422F"/>
    <w:rsid w:val="00E94E28"/>
    <w:rsid w:val="00E95543"/>
    <w:rsid w:val="00E95D89"/>
    <w:rsid w:val="00EB042D"/>
    <w:rsid w:val="00EC1FEC"/>
    <w:rsid w:val="00EC32B8"/>
    <w:rsid w:val="00ED1135"/>
    <w:rsid w:val="00EE1B1A"/>
    <w:rsid w:val="00EE753C"/>
    <w:rsid w:val="00EF2846"/>
    <w:rsid w:val="00EF4903"/>
    <w:rsid w:val="00F02B8A"/>
    <w:rsid w:val="00F0443B"/>
    <w:rsid w:val="00F06226"/>
    <w:rsid w:val="00F160CD"/>
    <w:rsid w:val="00F16A0B"/>
    <w:rsid w:val="00F25879"/>
    <w:rsid w:val="00F31617"/>
    <w:rsid w:val="00F32B10"/>
    <w:rsid w:val="00F44ED9"/>
    <w:rsid w:val="00F464A3"/>
    <w:rsid w:val="00F538D9"/>
    <w:rsid w:val="00F5780D"/>
    <w:rsid w:val="00F619EA"/>
    <w:rsid w:val="00F65293"/>
    <w:rsid w:val="00F70E14"/>
    <w:rsid w:val="00F72528"/>
    <w:rsid w:val="00F8478C"/>
    <w:rsid w:val="00F9246D"/>
    <w:rsid w:val="00F92FEB"/>
    <w:rsid w:val="00FA435C"/>
    <w:rsid w:val="00FB0E7C"/>
    <w:rsid w:val="00FB2DEC"/>
    <w:rsid w:val="00FB38D1"/>
    <w:rsid w:val="00FC69CD"/>
    <w:rsid w:val="00FC76AD"/>
    <w:rsid w:val="00FD1528"/>
    <w:rsid w:val="00FD42AF"/>
    <w:rsid w:val="00FD6291"/>
    <w:rsid w:val="00FD63E7"/>
    <w:rsid w:val="00FE7950"/>
    <w:rsid w:val="00FF18E7"/>
    <w:rsid w:val="00FF1C99"/>
    <w:rsid w:val="00FF3ACB"/>
    <w:rsid w:val="00FF6133"/>
    <w:rsid w:val="00FF61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9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81018"/>
    <w:pPr>
      <w:keepNext/>
      <w:keepLines/>
      <w:spacing w:before="240"/>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rPr>
      <w:rFonts w:cs="Times New Roman"/>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295A52"/>
    <w:pPr>
      <w:spacing w:after="300"/>
      <w:ind w:left="720"/>
      <w:contextualSpacing/>
    </w:pPr>
    <w:rPr>
      <w:rFonts w:asciiTheme="minorHAnsi" w:eastAsiaTheme="minorEastAsia" w:hAnsiTheme="minorHAnsi" w:cstheme="minorBidi"/>
      <w:sz w:val="22"/>
      <w:szCs w:val="22"/>
      <w:lang w:val="en-US" w:eastAsia="zh-CN"/>
    </w:rPr>
  </w:style>
  <w:style w:type="paragraph" w:styleId="Title">
    <w:name w:val="Title"/>
    <w:basedOn w:val="Normal"/>
    <w:next w:val="Normal"/>
    <w:link w:val="TitleChar"/>
    <w:qFormat/>
    <w:rsid w:val="008F42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F422F"/>
    <w:rPr>
      <w:rFonts w:asciiTheme="majorHAnsi" w:eastAsiaTheme="majorEastAsia" w:hAnsiTheme="majorHAnsi" w:cstheme="majorBidi"/>
      <w:color w:val="17365D" w:themeColor="text2" w:themeShade="BF"/>
      <w:spacing w:val="5"/>
      <w:kern w:val="28"/>
      <w:sz w:val="52"/>
      <w:szCs w:val="52"/>
      <w:lang w:val="en-US" w:eastAsia="zh-CN"/>
    </w:rPr>
  </w:style>
  <w:style w:type="character" w:styleId="Hyperlink">
    <w:name w:val="Hyperlink"/>
    <w:basedOn w:val="DefaultParagraphFont"/>
    <w:rsid w:val="008F422F"/>
    <w:rPr>
      <w:color w:val="0000FF"/>
      <w:u w:val="single"/>
    </w:rPr>
  </w:style>
  <w:style w:type="table" w:styleId="TableGrid">
    <w:name w:val="Table Grid"/>
    <w:basedOn w:val="TableNormal"/>
    <w:uiPriority w:val="39"/>
    <w:rsid w:val="008F422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AB4"/>
    <w:rPr>
      <w:sz w:val="16"/>
      <w:szCs w:val="16"/>
    </w:rPr>
  </w:style>
  <w:style w:type="paragraph" w:styleId="CommentText">
    <w:name w:val="annotation text"/>
    <w:basedOn w:val="Normal"/>
    <w:link w:val="CommentTextChar"/>
    <w:uiPriority w:val="99"/>
    <w:semiHidden/>
    <w:unhideWhenUsed/>
    <w:rsid w:val="005C2AB4"/>
    <w:pPr>
      <w:spacing w:after="3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5C2AB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C2AB4"/>
    <w:rPr>
      <w:b/>
      <w:bCs/>
    </w:rPr>
  </w:style>
  <w:style w:type="character" w:customStyle="1" w:styleId="CommentSubjectChar">
    <w:name w:val="Comment Subject Char"/>
    <w:basedOn w:val="CommentTextChar"/>
    <w:link w:val="CommentSubject"/>
    <w:uiPriority w:val="99"/>
    <w:semiHidden/>
    <w:rsid w:val="005C2AB4"/>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C2AB4"/>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5C2AB4"/>
    <w:rPr>
      <w:rFonts w:ascii="Tahoma" w:eastAsiaTheme="minorEastAsia" w:hAnsi="Tahoma" w:cs="Tahoma"/>
      <w:sz w:val="16"/>
      <w:szCs w:val="16"/>
      <w:lang w:val="en-US" w:eastAsia="zh-CN"/>
    </w:rPr>
  </w:style>
  <w:style w:type="paragraph" w:styleId="Header">
    <w:name w:val="header"/>
    <w:basedOn w:val="Normal"/>
    <w:link w:val="Head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D77DB2"/>
    <w:rPr>
      <w:rFonts w:eastAsiaTheme="minorEastAsia"/>
      <w:lang w:val="en-US" w:eastAsia="zh-CN"/>
    </w:rPr>
  </w:style>
  <w:style w:type="paragraph" w:styleId="Footer">
    <w:name w:val="footer"/>
    <w:basedOn w:val="Normal"/>
    <w:link w:val="Foot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D77DB2"/>
    <w:rPr>
      <w:rFonts w:eastAsiaTheme="minorEastAsia"/>
      <w:lang w:val="en-US" w:eastAsia="zh-CN"/>
    </w:rPr>
  </w:style>
  <w:style w:type="paragraph" w:styleId="FootnoteText">
    <w:name w:val="footnote text"/>
    <w:basedOn w:val="Normal"/>
    <w:link w:val="FootnoteTextChar"/>
    <w:uiPriority w:val="99"/>
    <w:unhideWhenUsed/>
    <w:rsid w:val="00C30E35"/>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30E35"/>
    <w:rPr>
      <w:sz w:val="24"/>
      <w:szCs w:val="24"/>
    </w:rPr>
  </w:style>
  <w:style w:type="character" w:styleId="FootnoteReference">
    <w:name w:val="footnote reference"/>
    <w:basedOn w:val="DefaultParagraphFont"/>
    <w:uiPriority w:val="99"/>
    <w:unhideWhenUsed/>
    <w:rsid w:val="00C30E35"/>
    <w:rPr>
      <w:vertAlign w:val="superscript"/>
    </w:rPr>
  </w:style>
  <w:style w:type="paragraph" w:styleId="Subtitle">
    <w:name w:val="Subtitle"/>
    <w:basedOn w:val="Normal"/>
    <w:next w:val="Normal"/>
    <w:link w:val="SubtitleChar"/>
    <w:uiPriority w:val="11"/>
    <w:qFormat/>
    <w:rsid w:val="00B81018"/>
    <w:pPr>
      <w:numPr>
        <w:ilvl w:val="1"/>
      </w:numPr>
      <w:spacing w:after="160"/>
    </w:pPr>
    <w:rPr>
      <w:rFonts w:asciiTheme="minorHAnsi" w:eastAsiaTheme="minorEastAsia" w:hAnsiTheme="minorHAnsi"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B81018"/>
    <w:rPr>
      <w:rFonts w:eastAsiaTheme="minorEastAsia"/>
      <w:color w:val="5A5A5A" w:themeColor="text1" w:themeTint="A5"/>
      <w:spacing w:val="15"/>
      <w:lang w:val="en-US" w:eastAsia="zh-CN"/>
    </w:rPr>
  </w:style>
  <w:style w:type="character" w:customStyle="1" w:styleId="Heading1Char">
    <w:name w:val="Heading 1 Char"/>
    <w:basedOn w:val="DefaultParagraphFont"/>
    <w:link w:val="Heading1"/>
    <w:uiPriority w:val="9"/>
    <w:rsid w:val="00B81018"/>
    <w:rPr>
      <w:rFonts w:asciiTheme="majorHAnsi" w:eastAsiaTheme="majorEastAsia" w:hAnsiTheme="majorHAnsi" w:cstheme="majorBidi"/>
      <w:color w:val="365F91" w:themeColor="accent1" w:themeShade="BF"/>
      <w:sz w:val="32"/>
      <w:szCs w:val="32"/>
      <w:lang w:val="en-US" w:eastAsia="zh-CN"/>
    </w:rPr>
  </w:style>
  <w:style w:type="table" w:customStyle="1" w:styleId="TableGrid1">
    <w:name w:val="Table Grid1"/>
    <w:basedOn w:val="TableNormal"/>
    <w:next w:val="TableGrid"/>
    <w:uiPriority w:val="39"/>
    <w:rsid w:val="00022B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AA1"/>
    <w:pPr>
      <w:spacing w:after="0" w:line="240" w:lineRule="auto"/>
    </w:pPr>
    <w:rPr>
      <w:rFonts w:eastAsiaTheme="minorEastAsia"/>
      <w:lang w:val="en-US" w:eastAsia="zh-CN"/>
    </w:rPr>
  </w:style>
  <w:style w:type="paragraph" w:customStyle="1" w:styleId="p1">
    <w:name w:val="p1"/>
    <w:basedOn w:val="Normal"/>
    <w:rsid w:val="00BA4C5F"/>
    <w:rPr>
      <w:rFonts w:ascii="Calibri" w:hAnsi="Calibri"/>
      <w:sz w:val="17"/>
      <w:szCs w:val="17"/>
    </w:rPr>
  </w:style>
  <w:style w:type="character" w:customStyle="1" w:styleId="apple-converted-space">
    <w:name w:val="apple-converted-space"/>
    <w:basedOn w:val="DefaultParagraphFont"/>
    <w:rsid w:val="00BA4C5F"/>
  </w:style>
  <w:style w:type="paragraph" w:customStyle="1" w:styleId="Default">
    <w:name w:val="Default"/>
    <w:rsid w:val="00AD1CBB"/>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contextualextensionhighlight">
    <w:name w:val="contextualextensionhighlight"/>
    <w:basedOn w:val="DefaultParagraphFont"/>
    <w:rsid w:val="00AD1CBB"/>
  </w:style>
  <w:style w:type="paragraph" w:customStyle="1" w:styleId="xmsonormal">
    <w:name w:val="x_msonormal"/>
    <w:basedOn w:val="Normal"/>
    <w:rsid w:val="00AD1CBB"/>
    <w:pPr>
      <w:spacing w:before="100" w:beforeAutospacing="1" w:after="100" w:afterAutospacing="1"/>
    </w:pPr>
    <w:rPr>
      <w:rFonts w:eastAsia="Times New Roman"/>
      <w:lang w:val="fi-FI" w:eastAsia="fi-FI"/>
    </w:rPr>
  </w:style>
  <w:style w:type="paragraph" w:customStyle="1" w:styleId="p2">
    <w:name w:val="p2"/>
    <w:basedOn w:val="Normal"/>
    <w:rsid w:val="00584893"/>
    <w:rPr>
      <w:rFonts w:ascii="Calibri" w:hAnsi="Calibri"/>
      <w:sz w:val="17"/>
      <w:szCs w:val="17"/>
    </w:rPr>
  </w:style>
  <w:style w:type="paragraph" w:customStyle="1" w:styleId="p3">
    <w:name w:val="p3"/>
    <w:basedOn w:val="Normal"/>
    <w:rsid w:val="00584893"/>
    <w:rPr>
      <w:rFonts w:ascii="Calibri" w:hAnsi="Calibri"/>
      <w:sz w:val="17"/>
      <w:szCs w:val="17"/>
    </w:rPr>
  </w:style>
  <w:style w:type="paragraph" w:styleId="BodyText">
    <w:name w:val="Body Text"/>
    <w:basedOn w:val="Normal"/>
    <w:link w:val="BodyTextChar"/>
    <w:uiPriority w:val="99"/>
    <w:unhideWhenUsed/>
    <w:rsid w:val="00840400"/>
    <w:pPr>
      <w:widowControl w:val="0"/>
      <w:autoSpaceDE w:val="0"/>
      <w:autoSpaceDN w:val="0"/>
      <w:adjustRightInd w:val="0"/>
      <w:spacing w:after="240" w:line="360" w:lineRule="auto"/>
      <w:contextualSpacing/>
      <w:jc w:val="both"/>
    </w:pPr>
    <w:rPr>
      <w:sz w:val="22"/>
      <w:szCs w:val="22"/>
      <w:lang w:val="en-US" w:eastAsia="en-US"/>
    </w:rPr>
  </w:style>
  <w:style w:type="character" w:customStyle="1" w:styleId="BodyTextChar">
    <w:name w:val="Body Text Char"/>
    <w:basedOn w:val="DefaultParagraphFont"/>
    <w:link w:val="BodyText"/>
    <w:uiPriority w:val="99"/>
    <w:rsid w:val="00840400"/>
    <w:rPr>
      <w:rFonts w:ascii="Times New Roman" w:hAnsi="Times New Roman" w:cs="Times New Roman"/>
      <w:lang w:val="en-US"/>
    </w:rPr>
  </w:style>
  <w:style w:type="character" w:styleId="FollowedHyperlink">
    <w:name w:val="FollowedHyperlink"/>
    <w:basedOn w:val="DefaultParagraphFont"/>
    <w:uiPriority w:val="99"/>
    <w:semiHidden/>
    <w:unhideWhenUsed/>
    <w:rsid w:val="008A5681"/>
    <w:rPr>
      <w:color w:val="800080" w:themeColor="followedHyperlink"/>
      <w:u w:val="single"/>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AD649A"/>
    <w:rPr>
      <w:rFonts w:eastAsiaTheme="minorEastAsia"/>
      <w:lang w:val="en-US" w:eastAsia="zh-CN"/>
    </w:rPr>
  </w:style>
  <w:style w:type="table" w:customStyle="1" w:styleId="GridTable5Dark-Accent31">
    <w:name w:val="Grid Table 5 Dark - Accent 31"/>
    <w:basedOn w:val="TableNormal"/>
    <w:uiPriority w:val="50"/>
    <w:rsid w:val="002A2BF6"/>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9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81018"/>
    <w:pPr>
      <w:keepNext/>
      <w:keepLines/>
      <w:spacing w:before="240"/>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rPr>
      <w:rFonts w:cs="Times New Roman"/>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295A52"/>
    <w:pPr>
      <w:spacing w:after="300"/>
      <w:ind w:left="720"/>
      <w:contextualSpacing/>
    </w:pPr>
    <w:rPr>
      <w:rFonts w:asciiTheme="minorHAnsi" w:eastAsiaTheme="minorEastAsia" w:hAnsiTheme="minorHAnsi" w:cstheme="minorBidi"/>
      <w:sz w:val="22"/>
      <w:szCs w:val="22"/>
      <w:lang w:val="en-US" w:eastAsia="zh-CN"/>
    </w:rPr>
  </w:style>
  <w:style w:type="paragraph" w:styleId="Title">
    <w:name w:val="Title"/>
    <w:basedOn w:val="Normal"/>
    <w:next w:val="Normal"/>
    <w:link w:val="TitleChar"/>
    <w:qFormat/>
    <w:rsid w:val="008F42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F422F"/>
    <w:rPr>
      <w:rFonts w:asciiTheme="majorHAnsi" w:eastAsiaTheme="majorEastAsia" w:hAnsiTheme="majorHAnsi" w:cstheme="majorBidi"/>
      <w:color w:val="17365D" w:themeColor="text2" w:themeShade="BF"/>
      <w:spacing w:val="5"/>
      <w:kern w:val="28"/>
      <w:sz w:val="52"/>
      <w:szCs w:val="52"/>
      <w:lang w:val="en-US" w:eastAsia="zh-CN"/>
    </w:rPr>
  </w:style>
  <w:style w:type="character" w:styleId="Hyperlink">
    <w:name w:val="Hyperlink"/>
    <w:basedOn w:val="DefaultParagraphFont"/>
    <w:rsid w:val="008F422F"/>
    <w:rPr>
      <w:color w:val="0000FF"/>
      <w:u w:val="single"/>
    </w:rPr>
  </w:style>
  <w:style w:type="table" w:styleId="TableGrid">
    <w:name w:val="Table Grid"/>
    <w:basedOn w:val="TableNormal"/>
    <w:uiPriority w:val="39"/>
    <w:rsid w:val="008F422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AB4"/>
    <w:rPr>
      <w:sz w:val="16"/>
      <w:szCs w:val="16"/>
    </w:rPr>
  </w:style>
  <w:style w:type="paragraph" w:styleId="CommentText">
    <w:name w:val="annotation text"/>
    <w:basedOn w:val="Normal"/>
    <w:link w:val="CommentTextChar"/>
    <w:uiPriority w:val="99"/>
    <w:semiHidden/>
    <w:unhideWhenUsed/>
    <w:rsid w:val="005C2AB4"/>
    <w:pPr>
      <w:spacing w:after="3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5C2AB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C2AB4"/>
    <w:rPr>
      <w:b/>
      <w:bCs/>
    </w:rPr>
  </w:style>
  <w:style w:type="character" w:customStyle="1" w:styleId="CommentSubjectChar">
    <w:name w:val="Comment Subject Char"/>
    <w:basedOn w:val="CommentTextChar"/>
    <w:link w:val="CommentSubject"/>
    <w:uiPriority w:val="99"/>
    <w:semiHidden/>
    <w:rsid w:val="005C2AB4"/>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C2AB4"/>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5C2AB4"/>
    <w:rPr>
      <w:rFonts w:ascii="Tahoma" w:eastAsiaTheme="minorEastAsia" w:hAnsi="Tahoma" w:cs="Tahoma"/>
      <w:sz w:val="16"/>
      <w:szCs w:val="16"/>
      <w:lang w:val="en-US" w:eastAsia="zh-CN"/>
    </w:rPr>
  </w:style>
  <w:style w:type="paragraph" w:styleId="Header">
    <w:name w:val="header"/>
    <w:basedOn w:val="Normal"/>
    <w:link w:val="Head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D77DB2"/>
    <w:rPr>
      <w:rFonts w:eastAsiaTheme="minorEastAsia"/>
      <w:lang w:val="en-US" w:eastAsia="zh-CN"/>
    </w:rPr>
  </w:style>
  <w:style w:type="paragraph" w:styleId="Footer">
    <w:name w:val="footer"/>
    <w:basedOn w:val="Normal"/>
    <w:link w:val="Foot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D77DB2"/>
    <w:rPr>
      <w:rFonts w:eastAsiaTheme="minorEastAsia"/>
      <w:lang w:val="en-US" w:eastAsia="zh-CN"/>
    </w:rPr>
  </w:style>
  <w:style w:type="paragraph" w:styleId="FootnoteText">
    <w:name w:val="footnote text"/>
    <w:basedOn w:val="Normal"/>
    <w:link w:val="FootnoteTextChar"/>
    <w:uiPriority w:val="99"/>
    <w:unhideWhenUsed/>
    <w:rsid w:val="00C30E35"/>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30E35"/>
    <w:rPr>
      <w:sz w:val="24"/>
      <w:szCs w:val="24"/>
    </w:rPr>
  </w:style>
  <w:style w:type="character" w:styleId="FootnoteReference">
    <w:name w:val="footnote reference"/>
    <w:basedOn w:val="DefaultParagraphFont"/>
    <w:uiPriority w:val="99"/>
    <w:unhideWhenUsed/>
    <w:rsid w:val="00C30E35"/>
    <w:rPr>
      <w:vertAlign w:val="superscript"/>
    </w:rPr>
  </w:style>
  <w:style w:type="paragraph" w:styleId="Subtitle">
    <w:name w:val="Subtitle"/>
    <w:basedOn w:val="Normal"/>
    <w:next w:val="Normal"/>
    <w:link w:val="SubtitleChar"/>
    <w:uiPriority w:val="11"/>
    <w:qFormat/>
    <w:rsid w:val="00B81018"/>
    <w:pPr>
      <w:numPr>
        <w:ilvl w:val="1"/>
      </w:numPr>
      <w:spacing w:after="160"/>
    </w:pPr>
    <w:rPr>
      <w:rFonts w:asciiTheme="minorHAnsi" w:eastAsiaTheme="minorEastAsia" w:hAnsiTheme="minorHAnsi"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B81018"/>
    <w:rPr>
      <w:rFonts w:eastAsiaTheme="minorEastAsia"/>
      <w:color w:val="5A5A5A" w:themeColor="text1" w:themeTint="A5"/>
      <w:spacing w:val="15"/>
      <w:lang w:val="en-US" w:eastAsia="zh-CN"/>
    </w:rPr>
  </w:style>
  <w:style w:type="character" w:customStyle="1" w:styleId="Heading1Char">
    <w:name w:val="Heading 1 Char"/>
    <w:basedOn w:val="DefaultParagraphFont"/>
    <w:link w:val="Heading1"/>
    <w:uiPriority w:val="9"/>
    <w:rsid w:val="00B81018"/>
    <w:rPr>
      <w:rFonts w:asciiTheme="majorHAnsi" w:eastAsiaTheme="majorEastAsia" w:hAnsiTheme="majorHAnsi" w:cstheme="majorBidi"/>
      <w:color w:val="365F91" w:themeColor="accent1" w:themeShade="BF"/>
      <w:sz w:val="32"/>
      <w:szCs w:val="32"/>
      <w:lang w:val="en-US" w:eastAsia="zh-CN"/>
    </w:rPr>
  </w:style>
  <w:style w:type="table" w:customStyle="1" w:styleId="TableGrid1">
    <w:name w:val="Table Grid1"/>
    <w:basedOn w:val="TableNormal"/>
    <w:next w:val="TableGrid"/>
    <w:uiPriority w:val="39"/>
    <w:rsid w:val="00022B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AA1"/>
    <w:pPr>
      <w:spacing w:after="0" w:line="240" w:lineRule="auto"/>
    </w:pPr>
    <w:rPr>
      <w:rFonts w:eastAsiaTheme="minorEastAsia"/>
      <w:lang w:val="en-US" w:eastAsia="zh-CN"/>
    </w:rPr>
  </w:style>
  <w:style w:type="paragraph" w:customStyle="1" w:styleId="p1">
    <w:name w:val="p1"/>
    <w:basedOn w:val="Normal"/>
    <w:rsid w:val="00BA4C5F"/>
    <w:rPr>
      <w:rFonts w:ascii="Calibri" w:hAnsi="Calibri"/>
      <w:sz w:val="17"/>
      <w:szCs w:val="17"/>
    </w:rPr>
  </w:style>
  <w:style w:type="character" w:customStyle="1" w:styleId="apple-converted-space">
    <w:name w:val="apple-converted-space"/>
    <w:basedOn w:val="DefaultParagraphFont"/>
    <w:rsid w:val="00BA4C5F"/>
  </w:style>
  <w:style w:type="paragraph" w:customStyle="1" w:styleId="Default">
    <w:name w:val="Default"/>
    <w:rsid w:val="00AD1CBB"/>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contextualextensionhighlight">
    <w:name w:val="contextualextensionhighlight"/>
    <w:basedOn w:val="DefaultParagraphFont"/>
    <w:rsid w:val="00AD1CBB"/>
  </w:style>
  <w:style w:type="paragraph" w:customStyle="1" w:styleId="xmsonormal">
    <w:name w:val="x_msonormal"/>
    <w:basedOn w:val="Normal"/>
    <w:rsid w:val="00AD1CBB"/>
    <w:pPr>
      <w:spacing w:before="100" w:beforeAutospacing="1" w:after="100" w:afterAutospacing="1"/>
    </w:pPr>
    <w:rPr>
      <w:rFonts w:eastAsia="Times New Roman"/>
      <w:lang w:val="fi-FI" w:eastAsia="fi-FI"/>
    </w:rPr>
  </w:style>
  <w:style w:type="paragraph" w:customStyle="1" w:styleId="p2">
    <w:name w:val="p2"/>
    <w:basedOn w:val="Normal"/>
    <w:rsid w:val="00584893"/>
    <w:rPr>
      <w:rFonts w:ascii="Calibri" w:hAnsi="Calibri"/>
      <w:sz w:val="17"/>
      <w:szCs w:val="17"/>
    </w:rPr>
  </w:style>
  <w:style w:type="paragraph" w:customStyle="1" w:styleId="p3">
    <w:name w:val="p3"/>
    <w:basedOn w:val="Normal"/>
    <w:rsid w:val="00584893"/>
    <w:rPr>
      <w:rFonts w:ascii="Calibri" w:hAnsi="Calibri"/>
      <w:sz w:val="17"/>
      <w:szCs w:val="17"/>
    </w:rPr>
  </w:style>
  <w:style w:type="paragraph" w:styleId="BodyText">
    <w:name w:val="Body Text"/>
    <w:basedOn w:val="Normal"/>
    <w:link w:val="BodyTextChar"/>
    <w:uiPriority w:val="99"/>
    <w:unhideWhenUsed/>
    <w:rsid w:val="00840400"/>
    <w:pPr>
      <w:widowControl w:val="0"/>
      <w:autoSpaceDE w:val="0"/>
      <w:autoSpaceDN w:val="0"/>
      <w:adjustRightInd w:val="0"/>
      <w:spacing w:after="240" w:line="360" w:lineRule="auto"/>
      <w:contextualSpacing/>
      <w:jc w:val="both"/>
    </w:pPr>
    <w:rPr>
      <w:sz w:val="22"/>
      <w:szCs w:val="22"/>
      <w:lang w:val="en-US" w:eastAsia="en-US"/>
    </w:rPr>
  </w:style>
  <w:style w:type="character" w:customStyle="1" w:styleId="BodyTextChar">
    <w:name w:val="Body Text Char"/>
    <w:basedOn w:val="DefaultParagraphFont"/>
    <w:link w:val="BodyText"/>
    <w:uiPriority w:val="99"/>
    <w:rsid w:val="00840400"/>
    <w:rPr>
      <w:rFonts w:ascii="Times New Roman" w:hAnsi="Times New Roman" w:cs="Times New Roman"/>
      <w:lang w:val="en-US"/>
    </w:rPr>
  </w:style>
  <w:style w:type="character" w:styleId="FollowedHyperlink">
    <w:name w:val="FollowedHyperlink"/>
    <w:basedOn w:val="DefaultParagraphFont"/>
    <w:uiPriority w:val="99"/>
    <w:semiHidden/>
    <w:unhideWhenUsed/>
    <w:rsid w:val="008A5681"/>
    <w:rPr>
      <w:color w:val="800080" w:themeColor="followedHyperlink"/>
      <w:u w:val="single"/>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AD649A"/>
    <w:rPr>
      <w:rFonts w:eastAsiaTheme="minorEastAsia"/>
      <w:lang w:val="en-US" w:eastAsia="zh-CN"/>
    </w:rPr>
  </w:style>
  <w:style w:type="table" w:customStyle="1" w:styleId="GridTable5Dark-Accent31">
    <w:name w:val="Grid Table 5 Dark - Accent 31"/>
    <w:basedOn w:val="TableNormal"/>
    <w:uiPriority w:val="50"/>
    <w:rsid w:val="002A2BF6"/>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0197">
      <w:bodyDiv w:val="1"/>
      <w:marLeft w:val="0"/>
      <w:marRight w:val="0"/>
      <w:marTop w:val="0"/>
      <w:marBottom w:val="0"/>
      <w:divBdr>
        <w:top w:val="none" w:sz="0" w:space="0" w:color="auto"/>
        <w:left w:val="none" w:sz="0" w:space="0" w:color="auto"/>
        <w:bottom w:val="none" w:sz="0" w:space="0" w:color="auto"/>
        <w:right w:val="none" w:sz="0" w:space="0" w:color="auto"/>
      </w:divBdr>
    </w:div>
    <w:div w:id="482115255">
      <w:bodyDiv w:val="1"/>
      <w:marLeft w:val="0"/>
      <w:marRight w:val="0"/>
      <w:marTop w:val="0"/>
      <w:marBottom w:val="0"/>
      <w:divBdr>
        <w:top w:val="none" w:sz="0" w:space="0" w:color="auto"/>
        <w:left w:val="none" w:sz="0" w:space="0" w:color="auto"/>
        <w:bottom w:val="none" w:sz="0" w:space="0" w:color="auto"/>
        <w:right w:val="none" w:sz="0" w:space="0" w:color="auto"/>
      </w:divBdr>
    </w:div>
    <w:div w:id="1161236520">
      <w:bodyDiv w:val="1"/>
      <w:marLeft w:val="0"/>
      <w:marRight w:val="0"/>
      <w:marTop w:val="0"/>
      <w:marBottom w:val="0"/>
      <w:divBdr>
        <w:top w:val="none" w:sz="0" w:space="0" w:color="auto"/>
        <w:left w:val="none" w:sz="0" w:space="0" w:color="auto"/>
        <w:bottom w:val="none" w:sz="0" w:space="0" w:color="auto"/>
        <w:right w:val="none" w:sz="0" w:space="0" w:color="auto"/>
      </w:divBdr>
    </w:div>
    <w:div w:id="1284967598">
      <w:bodyDiv w:val="1"/>
      <w:marLeft w:val="0"/>
      <w:marRight w:val="0"/>
      <w:marTop w:val="0"/>
      <w:marBottom w:val="0"/>
      <w:divBdr>
        <w:top w:val="none" w:sz="0" w:space="0" w:color="auto"/>
        <w:left w:val="none" w:sz="0" w:space="0" w:color="auto"/>
        <w:bottom w:val="none" w:sz="0" w:space="0" w:color="auto"/>
        <w:right w:val="none" w:sz="0" w:space="0" w:color="auto"/>
      </w:divBdr>
    </w:div>
    <w:div w:id="1400011088">
      <w:bodyDiv w:val="1"/>
      <w:marLeft w:val="0"/>
      <w:marRight w:val="0"/>
      <w:marTop w:val="0"/>
      <w:marBottom w:val="0"/>
      <w:divBdr>
        <w:top w:val="none" w:sz="0" w:space="0" w:color="auto"/>
        <w:left w:val="none" w:sz="0" w:space="0" w:color="auto"/>
        <w:bottom w:val="none" w:sz="0" w:space="0" w:color="auto"/>
        <w:right w:val="none" w:sz="0" w:space="0" w:color="auto"/>
      </w:divBdr>
    </w:div>
    <w:div w:id="1479492299">
      <w:bodyDiv w:val="1"/>
      <w:marLeft w:val="0"/>
      <w:marRight w:val="0"/>
      <w:marTop w:val="0"/>
      <w:marBottom w:val="0"/>
      <w:divBdr>
        <w:top w:val="none" w:sz="0" w:space="0" w:color="auto"/>
        <w:left w:val="none" w:sz="0" w:space="0" w:color="auto"/>
        <w:bottom w:val="none" w:sz="0" w:space="0" w:color="auto"/>
        <w:right w:val="none" w:sz="0" w:space="0" w:color="auto"/>
      </w:divBdr>
    </w:div>
    <w:div w:id="21044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C0121F-7415-458B-8206-6B146059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IVANUSA, Marijan</cp:lastModifiedBy>
  <cp:revision>4</cp:revision>
  <cp:lastPrinted>2017-12-06T14:59:00Z</cp:lastPrinted>
  <dcterms:created xsi:type="dcterms:W3CDTF">2018-02-25T18:06:00Z</dcterms:created>
  <dcterms:modified xsi:type="dcterms:W3CDTF">2018-03-28T03:49:00Z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-132793367</vt:i4>
  </property>
  <property fmtid="{D5CDD505-2E9C-101B-9397-08002B2CF9AE}" pid="4" name="_EmailSubject">
    <vt:lpwstr>UHCP Action plan</vt:lpwstr>
  </property>
  <property fmtid="{D5CDD505-2E9C-101B-9397-08002B2CF9AE}" pid="5" name="_AuthorEmail">
    <vt:lpwstr>ivanusam@who.int</vt:lpwstr>
  </property>
  <property fmtid="{D5CDD505-2E9C-101B-9397-08002B2CF9AE}" pid="6" name="_AuthorEmailDisplayName">
    <vt:lpwstr>IVANUSA, Marijan</vt:lpwstr>
  </property>
</Properties>
</file>